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815 ILCS 530/10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815 BUSINESS TRANSACTIONS (§§ 5/1 — 730/99)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Personal Information Protection Act (§§ 530/1 — 530/900)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815 ILCS 530/10 Notice of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notice to Attorney General.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owns or licenses personal information concerning an Illinois resident shall notify the resident at no charge that there has been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following discovery or notification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disclosure notification shall be made in the most expedient time possible and without unreasonable delay, consistent with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security, and confidentiality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The disclosure notification to an Illinois resident shall include, but need not be limited to, information as follows: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With respect to personal information as defined in Section 5 [815 ILCS 530/5] in paragraph (1) of the definition of “personal information”:</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the toll-free numbers and addresses for consumer reporting agencies;</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the toll-free number, address, and website address for the Federal Trade Commission; and</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a statement that the individual can obtain information from these sources about fraud alerts and security freezes.</w:t>
      </w:r>
    </w:p>
    <w:p>
      <w:pPr>
        <w:keepNext w:val="0"/>
        <w:spacing w:before="120" w:after="0" w:line="300" w:lineRule="atLeast"/>
        <w:ind w:left="1080" w:right="0"/>
        <w:jc w:val="left"/>
      </w:pPr>
      <w:r>
        <w:rPr>
          <w:b/>
        </w:rPr>
        <w:t xml:space="preserve">(2)  </w:t>
      </w:r>
      <w:bookmarkStart w:id="6" w:name="Bookmark__a_2"/>
      <w:bookmarkEnd w:id="6"/>
      <w:r>
        <w:rPr>
          <w:rFonts w:ascii="times" w:eastAsia="times" w:hAnsi="times" w:cs="times"/>
          <w:b w:val="0"/>
          <w:i w:val="0"/>
          <w:strike w:val="0"/>
          <w:noProof w:val="0"/>
          <w:color w:val="000000"/>
          <w:position w:val="0"/>
          <w:sz w:val="24"/>
          <w:u w:val="none"/>
          <w:vertAlign w:val="baseline"/>
        </w:rPr>
        <w:t xml:space="preserve">With respect to personal information defined in Section 5 in paragraph (2) of the definition of “personal information”, notice may be provided in electronic or other form directing the Illinois resident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to promptly change his or her user name or password and security question or answer, as applicable, or to take other steps appropriate to protect all online accounts for which the resident uses the same user name or email address and password or security question and answer.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notification shall not, however, include information concerning the number of Illinois residents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maintains or stores, but does not own or license,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that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does not own or license shall notify the owner or licensee of the information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immediately following discovery, if the personal information was, or is reasonably believed to have been, acquired by an unauthorized person. In addition to providing such notification to the owner or licensee,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cooperate with the owner or licensee in matters relating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That cooperation shall include, but need not be limited to, (i) informing the owner or licensee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including giving notice of the date or approximate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the nature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(ii) informing the owner or licensee of any steps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has taken or plans to take relating to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cooperation shall not, however, be deemed to require either the disclosure of confidential business information or trade secrets or the notification of an Illinois resident who may have been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(b-5)</w:t>
      </w:r>
      <w:bookmarkStart w:id="8" w:name="Bookmark__b-5"/>
      <w:bookmarkEnd w:id="8"/>
      <w:r>
        <w:rPr>
          <w:rFonts w:ascii="times" w:eastAsia="times" w:hAnsi="times" w:cs="times"/>
          <w:b w:val="0"/>
          <w:i w:val="0"/>
          <w:strike w:val="0"/>
          <w:noProof w:val="0"/>
          <w:color w:val="000000"/>
          <w:position w:val="0"/>
          <w:sz w:val="24"/>
          <w:u w:val="none"/>
          <w:vertAlign w:val="baseline"/>
        </w:rPr>
        <w:t xml:space="preserve">The notification to an Illinois resident required by subsection (a) of this Section may be delayed if an appropriate law enforcement agency determines that notification will interfere with a criminal investigation and provides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with a written request for the delay. However,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must notify the Illinois resident as soon as notification will no longer interfere with the investigation.</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For purposes of this Section, notice to consumers may be provided by one of the following methods:</w:t>
      </w:r>
    </w:p>
    <w:p>
      <w:pPr>
        <w:keepNext w:val="0"/>
        <w:spacing w:before="120" w:after="0" w:line="300" w:lineRule="atLeast"/>
        <w:ind w:left="1080" w:right="0"/>
        <w:jc w:val="left"/>
      </w:pPr>
      <w:r>
        <w:rPr>
          <w:b/>
        </w:rPr>
        <w:t xml:space="preserve">(1)  </w:t>
      </w:r>
      <w:bookmarkStart w:id="10" w:name="Bookmark__c_1"/>
      <w:bookmarkEnd w:id="10"/>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(2)  </w:t>
      </w:r>
      <w:bookmarkStart w:id="11" w:name="Bookmark__c_2"/>
      <w:bookmarkEnd w:id="11"/>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for notices legally required to be in writing as set forth in Section 7001 of Title 15 of the United States Code; or</w:t>
      </w:r>
    </w:p>
    <w:p>
      <w:pPr>
        <w:keepNext w:val="0"/>
        <w:spacing w:before="120" w:after="0" w:line="300" w:lineRule="atLeast"/>
        <w:ind w:left="1080" w:right="0"/>
        <w:jc w:val="left"/>
      </w:pPr>
      <w:r>
        <w:rPr>
          <w:b/>
        </w:rPr>
        <w:t xml:space="preserve">(3)  </w:t>
      </w:r>
      <w:bookmarkStart w:id="12" w:name="Bookmark__c_3"/>
      <w:bookmarkEnd w:id="12"/>
      <w:r>
        <w:rPr>
          <w:rFonts w:ascii="times" w:eastAsia="times" w:hAnsi="times" w:cs="times"/>
          <w:b w:val="0"/>
          <w:i w:val="0"/>
          <w:strike w:val="0"/>
          <w:noProof w:val="0"/>
          <w:color w:val="000000"/>
          <w:position w:val="0"/>
          <w:sz w:val="24"/>
          <w:u w:val="none"/>
          <w:vertAlign w:val="baseline"/>
        </w:rPr>
        <w:t xml:space="preserve">substitute notice, if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demonstrates that the cost of providing notice would exceed $250,000 or that the affected class of subject persons to be notified exceeds 500,000, or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does not have sufficient contact information. Substitute notice shall consist of all of the following: (i) email notice if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has an email address for the subject persons; (ii) conspicuous posting of the notice on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web site page if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maintains one; and (iii) notification to major statewide media or, if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impacts residents in one geographic area, to prominent local media in areas where affected individuals are likely to reside if such notice is reasonably calculated to give actual notice to persons whom notice is required.</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 xml:space="preserve">Notwithstanding any other subsection in this Section,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maintains its own notification procedures as part of an information security policy for the treatment of personal information and is otherwise consistent with the timing requirements of this Act, shall be deemed in compliance with the notification requirements of this Section if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notifies subject persons in accordance with its policies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spacing w:before="120" w:line="240" w:lineRule="atLeast"/>
        <w:ind w:left="720"/>
      </w:pPr>
      <w:r>
        <w:rPr>
          <w:b/>
        </w:rPr>
        <w:t xml:space="preserve">(e)  </w:t>
      </w:r>
      <w:bookmarkStart w:id="14" w:name="Bookmark__e"/>
      <w:bookmarkEnd w:id="14"/>
    </w:p>
    <w:p>
      <w:pPr>
        <w:keepNext w:val="0"/>
        <w:spacing w:before="120" w:after="0" w:line="300" w:lineRule="atLeast"/>
        <w:ind w:left="1080" w:right="0"/>
        <w:jc w:val="left"/>
      </w:pPr>
      <w:r>
        <w:rPr>
          <w:b/>
        </w:rPr>
        <w:t xml:space="preserve">(1)  </w:t>
      </w:r>
      <w:bookmarkStart w:id="15" w:name="Bookmark__e_1"/>
      <w:bookmarkEnd w:id="15"/>
      <w:r>
        <w:rPr>
          <w:rFonts w:ascii="times" w:eastAsia="times" w:hAnsi="times" w:cs="times"/>
          <w:b w:val="0"/>
          <w:i w:val="0"/>
          <w:strike w:val="0"/>
          <w:noProof w:val="0"/>
          <w:color w:val="000000"/>
          <w:position w:val="0"/>
          <w:sz w:val="24"/>
          <w:u w:val="none"/>
          <w:vertAlign w:val="baseline"/>
        </w:rPr>
        <w:t xml:space="preserve">This subsection does not apply to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that are covered entities or business associates and are in compliance with Section 50 [815 ILCS 530/50].</w:t>
      </w:r>
    </w:p>
    <w:p>
      <w:pPr>
        <w:keepNext w:val="0"/>
        <w:spacing w:before="120" w:after="0" w:line="300" w:lineRule="atLeast"/>
        <w:ind w:left="1080" w:right="0"/>
        <w:jc w:val="left"/>
      </w:pPr>
      <w:r>
        <w:rPr>
          <w:b/>
        </w:rPr>
        <w:t xml:space="preserve">(2)  </w:t>
      </w:r>
      <w:bookmarkStart w:id="16" w:name="Bookmark__e_2"/>
      <w:bookmarkEnd w:id="16"/>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required to issue notice pursuant to this Section to more than 500 Illinois residents as a result of a single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system shall provide notice to the Attorney General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including:</w:t>
      </w:r>
    </w:p>
    <w:p>
      <w:pPr>
        <w:keepNext w:val="0"/>
        <w:spacing w:before="120" w:after="0" w:line="300" w:lineRule="atLeast"/>
        <w:ind w:left="1440" w:right="0"/>
        <w:jc w:val="left"/>
      </w:pPr>
      <w:r>
        <w:rPr>
          <w:b/>
        </w:rPr>
        <w:t xml:space="preserve">(A)  </w:t>
      </w:r>
      <w:bookmarkStart w:id="17" w:name="Bookmark__e_2_a"/>
      <w:bookmarkEnd w:id="17"/>
      <w:r>
        <w:rPr>
          <w:rFonts w:ascii="times" w:eastAsia="times" w:hAnsi="times" w:cs="times"/>
          <w:b w:val="0"/>
          <w:i w:val="0"/>
          <w:strike w:val="0"/>
          <w:noProof w:val="0"/>
          <w:color w:val="000000"/>
          <w:position w:val="0"/>
          <w:sz w:val="24"/>
          <w:u w:val="none"/>
          <w:vertAlign w:val="baseline"/>
        </w:rPr>
        <w:t xml:space="preserve">A description of the nature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or unauthorized acquisition or use.</w:t>
      </w:r>
    </w:p>
    <w:p>
      <w:pPr>
        <w:keepNext w:val="0"/>
        <w:spacing w:before="120" w:after="0" w:line="300" w:lineRule="atLeast"/>
        <w:ind w:left="1440" w:right="0"/>
        <w:jc w:val="left"/>
      </w:pPr>
      <w:r>
        <w:rPr>
          <w:b/>
        </w:rPr>
        <w:t xml:space="preserve">(B)  </w:t>
      </w:r>
      <w:bookmarkStart w:id="18" w:name="Bookmark__e_2_b"/>
      <w:bookmarkEnd w:id="18"/>
      <w:r>
        <w:rPr>
          <w:rFonts w:ascii="times" w:eastAsia="times" w:hAnsi="times" w:cs="times"/>
          <w:b w:val="0"/>
          <w:i w:val="0"/>
          <w:strike w:val="0"/>
          <w:noProof w:val="0"/>
          <w:color w:val="000000"/>
          <w:position w:val="0"/>
          <w:sz w:val="24"/>
          <w:u w:val="none"/>
          <w:vertAlign w:val="baseline"/>
        </w:rPr>
        <w:t>The number of Illinois residents affected by such incident at the time of notification.</w:t>
      </w:r>
    </w:p>
    <w:p>
      <w:pPr>
        <w:keepNext w:val="0"/>
        <w:spacing w:before="120" w:after="0" w:line="300" w:lineRule="atLeast"/>
        <w:ind w:left="1440" w:right="0"/>
        <w:jc w:val="left"/>
      </w:pPr>
      <w:r>
        <w:rPr>
          <w:b/>
        </w:rPr>
        <w:t xml:space="preserve">(C)  </w:t>
      </w:r>
      <w:bookmarkStart w:id="19" w:name="Bookmark__e_2_c"/>
      <w:bookmarkEnd w:id="19"/>
      <w:r>
        <w:rPr>
          <w:rFonts w:ascii="times" w:eastAsia="times" w:hAnsi="times" w:cs="times"/>
          <w:b w:val="0"/>
          <w:i w:val="0"/>
          <w:strike w:val="0"/>
          <w:noProof w:val="0"/>
          <w:color w:val="000000"/>
          <w:position w:val="0"/>
          <w:sz w:val="24"/>
          <w:u w:val="none"/>
          <w:vertAlign w:val="baseline"/>
        </w:rPr>
        <w:t xml:space="preserve">Any steps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has taken or plans to take relating to the incident.</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Such notification must be made in the most expedient time possible and without unreasonable delay but in no event later than 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provides notice to consumers pursuant to this Section. If the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unknown at the time the notice is sent to the Attorney General,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send the Attorney General the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as soon as possible.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Upon receiving notification from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personal information, the Attorney General may publish the name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suffered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types of personal information compromised in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the date range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94-36, § 10; 94-947, § 5; 97-483, § 5; 99-503, § 5; 99-503, § 5; 2017 P.A. 100-201, § 800, effective August 18, 2017; 2019 P.A. 101-343, § 5, effective January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815 ILCS 530/10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815 ILCS 530/10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