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720 ILCS 5/17-51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720 CRIMINAL OFFENSES (§§ 5/1-1 — 690/4.5)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 CODE (§§ 5/1-1 — 5/49-6)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 Code of 2012 (Titles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III. Specific Offenses (Pts. A — F)</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C. Offenses Directed Against Property (Arts. 15 — 21.3)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17. Deception and Fraud (§§ 17-0.5 — 5/17-62)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Subdivision 30. Computer Fraud (§§ 5/17-50 — 17-55)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720 ILCS 5/17-51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tampering.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person commits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tampering when he or she knowingly and without the authorization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’s owner or in excess of the authority granted to him or her:</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Accesses or causes to be accessed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part thereof,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 program or data;</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Accesses or causes to be accessed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part thereof,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 program or data, and obtains data or services;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Accesses or causes to be accessed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part thereof,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 program or data, and damages or destroys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alters, deletes, or removes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Inserts or attempts to insert a program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knowing or having reason to know that such program contains information or commands that will or may:</w:t>
      </w:r>
    </w:p>
    <w:p>
      <w:pPr>
        <w:keepNext w:val="0"/>
        <w:spacing w:before="120" w:after="0" w:line="300" w:lineRule="atLeast"/>
        <w:ind w:left="1440" w:right="0"/>
        <w:jc w:val="left"/>
      </w:pPr>
      <w:r>
        <w:rPr>
          <w:b/>
        </w:rPr>
        <w:t xml:space="preserve">(A)  </w:t>
      </w:r>
      <w:bookmarkStart w:id="6" w:name="Bookmark__a_4_a"/>
      <w:bookmarkEnd w:id="6"/>
      <w:r>
        <w:rPr>
          <w:rFonts w:ascii="times" w:eastAsia="times" w:hAnsi="times" w:cs="times"/>
          <w:b w:val="0"/>
          <w:i w:val="0"/>
          <w:strike w:val="0"/>
          <w:noProof w:val="0"/>
          <w:color w:val="000000"/>
          <w:position w:val="0"/>
          <w:sz w:val="24"/>
          <w:u w:val="none"/>
          <w:vertAlign w:val="baseline"/>
        </w:rPr>
        <w:t xml:space="preserve">damage or destroy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subsequently accessing or being accessed by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(B)  </w:t>
      </w:r>
      <w:bookmarkStart w:id="7" w:name="Bookmark__a_4_b"/>
      <w:bookmarkEnd w:id="7"/>
      <w:r>
        <w:rPr>
          <w:rFonts w:ascii="times" w:eastAsia="times" w:hAnsi="times" w:cs="times"/>
          <w:b w:val="0"/>
          <w:i w:val="0"/>
          <w:strike w:val="0"/>
          <w:noProof w:val="0"/>
          <w:color w:val="000000"/>
          <w:position w:val="0"/>
          <w:sz w:val="24"/>
          <w:u w:val="none"/>
          <w:vertAlign w:val="baseline"/>
        </w:rPr>
        <w:t xml:space="preserve">alter, delete, or remove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from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data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subsequently accessing or being accessed by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440" w:right="0"/>
        <w:jc w:val="left"/>
      </w:pPr>
      <w:r>
        <w:rPr>
          <w:b/>
        </w:rPr>
        <w:t xml:space="preserve">(C)  </w:t>
      </w:r>
      <w:bookmarkStart w:id="8" w:name="Bookmark__a_4_c"/>
      <w:bookmarkEnd w:id="8"/>
      <w:r>
        <w:rPr>
          <w:rFonts w:ascii="times" w:eastAsia="times" w:hAnsi="times" w:cs="times"/>
          <w:b w:val="0"/>
          <w:i w:val="0"/>
          <w:strike w:val="0"/>
          <w:noProof w:val="0"/>
          <w:color w:val="000000"/>
          <w:position w:val="0"/>
          <w:sz w:val="24"/>
          <w:u w:val="none"/>
          <w:vertAlign w:val="baseline"/>
        </w:rPr>
        <w:t xml:space="preserve">cause loss to the users of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the users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accesses or which is accessed by such program; or</w:t>
      </w:r>
    </w:p>
    <w:p>
      <w:pPr>
        <w:keepNext w:val="0"/>
        <w:spacing w:before="120" w:after="0" w:line="300" w:lineRule="atLeast"/>
        <w:ind w:left="1080" w:right="0"/>
        <w:jc w:val="left"/>
      </w:pPr>
      <w:r>
        <w:rPr>
          <w:b/>
        </w:rPr>
        <w:t xml:space="preserve">(5)  </w:t>
      </w:r>
      <w:bookmarkStart w:id="9" w:name="Bookmark__a_5"/>
      <w:bookmarkEnd w:id="9"/>
      <w:r>
        <w:rPr>
          <w:rFonts w:ascii="times" w:eastAsia="times" w:hAnsi="times" w:cs="times"/>
          <w:b w:val="0"/>
          <w:i w:val="0"/>
          <w:strike w:val="0"/>
          <w:noProof w:val="0"/>
          <w:color w:val="000000"/>
          <w:position w:val="0"/>
          <w:sz w:val="24"/>
          <w:u w:val="none"/>
          <w:vertAlign w:val="baseline"/>
        </w:rPr>
        <w:t xml:space="preserve">Falsifies or forges electronic mail transmission information or other routing information in any manner in connection with the transmission of unsolicited bulk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w:t>
      </w:r>
    </w:p>
    <w:p>
      <w:pPr>
        <w:keepNext w:val="0"/>
        <w:spacing w:before="120" w:after="0" w:line="300" w:lineRule="atLeast"/>
        <w:ind w:left="720" w:right="0"/>
        <w:jc w:val="left"/>
      </w:pPr>
      <w:r>
        <w:rPr>
          <w:b/>
        </w:rPr>
        <w:t>(a-5)</w:t>
      </w:r>
      <w:bookmarkStart w:id="10" w:name="Bookmark__a-5"/>
      <w:bookmarkEnd w:id="10"/>
      <w:r>
        <w:rPr>
          <w:rFonts w:ascii="times" w:eastAsia="times" w:hAnsi="times" w:cs="times"/>
          <w:b w:val="0"/>
          <w:i w:val="0"/>
          <w:strike w:val="0"/>
          <w:noProof w:val="0"/>
          <w:color w:val="000000"/>
          <w:position w:val="0"/>
          <w:sz w:val="24"/>
          <w:u w:val="none"/>
          <w:vertAlign w:val="baseline"/>
        </w:rPr>
        <w:t>Distributing software to falsify routing information. It is unlawful for any person knowingly to sell, give, or otherwise distribute or possess with the intent to sell, give, or distribute software which:</w:t>
      </w:r>
    </w:p>
    <w:p>
      <w:pPr>
        <w:keepNext w:val="0"/>
        <w:spacing w:before="120" w:after="0" w:line="300" w:lineRule="atLeast"/>
        <w:ind w:left="1080" w:right="0"/>
        <w:jc w:val="left"/>
      </w:pPr>
      <w:r>
        <w:rPr>
          <w:b/>
        </w:rPr>
        <w:t xml:space="preserve">(1)  </w:t>
      </w:r>
      <w:bookmarkStart w:id="11" w:name="Bookmark__a-5_1"/>
      <w:bookmarkEnd w:id="11"/>
      <w:r>
        <w:rPr>
          <w:rFonts w:ascii="times" w:eastAsia="times" w:hAnsi="times" w:cs="times"/>
          <w:b w:val="0"/>
          <w:i w:val="0"/>
          <w:strike w:val="0"/>
          <w:noProof w:val="0"/>
          <w:color w:val="000000"/>
          <w:position w:val="0"/>
          <w:sz w:val="24"/>
          <w:u w:val="none"/>
          <w:vertAlign w:val="baseline"/>
        </w:rPr>
        <w:t>is primarily designed or produced for the purpose of facilitating or enabling the falsification of electronic mail transmission information or other routing information;</w:t>
      </w:r>
    </w:p>
    <w:p>
      <w:pPr>
        <w:keepNext w:val="0"/>
        <w:spacing w:before="120" w:after="0" w:line="300" w:lineRule="atLeast"/>
        <w:ind w:left="1080" w:right="0"/>
        <w:jc w:val="left"/>
      </w:pPr>
      <w:r>
        <w:rPr>
          <w:b/>
        </w:rPr>
        <w:t xml:space="preserve">(2)  </w:t>
      </w:r>
      <w:bookmarkStart w:id="12" w:name="Bookmark__a-5_2"/>
      <w:bookmarkEnd w:id="12"/>
      <w:r>
        <w:rPr>
          <w:rFonts w:ascii="times" w:eastAsia="times" w:hAnsi="times" w:cs="times"/>
          <w:b w:val="0"/>
          <w:i w:val="0"/>
          <w:strike w:val="0"/>
          <w:noProof w:val="0"/>
          <w:color w:val="000000"/>
          <w:position w:val="0"/>
          <w:sz w:val="24"/>
          <w:u w:val="none"/>
          <w:vertAlign w:val="baseline"/>
        </w:rPr>
        <w:t xml:space="preserve">has only a limited commercially significant purpose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other than to facilitate or enable the falsification of electronic mail transmission information or other routing information; or</w:t>
      </w:r>
    </w:p>
    <w:p>
      <w:pPr>
        <w:keepNext w:val="0"/>
        <w:spacing w:before="120" w:after="0" w:line="300" w:lineRule="atLeast"/>
        <w:ind w:left="1080" w:right="0"/>
        <w:jc w:val="left"/>
      </w:pPr>
      <w:r>
        <w:rPr>
          <w:b/>
        </w:rPr>
        <w:t xml:space="preserve">(3)  </w:t>
      </w:r>
      <w:bookmarkStart w:id="13" w:name="Bookmark__a-5_3"/>
      <w:bookmarkEnd w:id="13"/>
      <w:r>
        <w:rPr>
          <w:rFonts w:ascii="times" w:eastAsia="times" w:hAnsi="times" w:cs="times"/>
          <w:b w:val="0"/>
          <w:i w:val="0"/>
          <w:strike w:val="0"/>
          <w:noProof w:val="0"/>
          <w:color w:val="000000"/>
          <w:position w:val="0"/>
          <w:sz w:val="24"/>
          <w:u w:val="none"/>
          <w:vertAlign w:val="baseline"/>
        </w:rPr>
        <w:t xml:space="preserve">is marketed by that person or another acting in concert with that person with that person’s knowledge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facilitating or enabling the falsification of electronic mail transmission information or other routing information.</w:t>
      </w:r>
    </w:p>
    <w:p>
      <w:pPr>
        <w:keepNext w:val="0"/>
        <w:spacing w:before="120" w:after="0" w:line="300" w:lineRule="atLeast"/>
        <w:ind w:left="720" w:right="0"/>
        <w:jc w:val="left"/>
      </w:pPr>
      <w:r>
        <w:rPr>
          <w:b/>
        </w:rPr>
        <w:t xml:space="preserve">(a-10)  </w:t>
      </w:r>
      <w:bookmarkStart w:id="14" w:name="Bookmark__a-10"/>
      <w:bookmarkEnd w:id="14"/>
      <w:r>
        <w:rPr>
          <w:rFonts w:ascii="times" w:eastAsia="times" w:hAnsi="times" w:cs="times"/>
          <w:b w:val="0"/>
          <w:i w:val="0"/>
          <w:strike w:val="0"/>
          <w:noProof w:val="0"/>
          <w:color w:val="000000"/>
          <w:position w:val="0"/>
          <w:sz w:val="24"/>
          <w:u w:val="none"/>
          <w:vertAlign w:val="baseline"/>
        </w:rPr>
        <w:t xml:space="preserve">For purposes of subsection (a), accessing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is deemed to be with the authorization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’s owner if:</w:t>
      </w:r>
    </w:p>
    <w:p>
      <w:pPr>
        <w:keepNext w:val="0"/>
        <w:spacing w:before="120" w:after="0" w:line="300" w:lineRule="atLeast"/>
        <w:ind w:left="1080" w:right="0"/>
        <w:jc w:val="left"/>
      </w:pPr>
      <w:r>
        <w:rPr>
          <w:b/>
        </w:rPr>
        <w:t xml:space="preserve">(1)  </w:t>
      </w:r>
      <w:bookmarkStart w:id="15" w:name="Bookmark__a-10_1"/>
      <w:bookmarkEnd w:id="15"/>
      <w:r>
        <w:rPr>
          <w:rFonts w:ascii="times" w:eastAsia="times" w:hAnsi="times" w:cs="times"/>
          <w:b w:val="0"/>
          <w:i w:val="0"/>
          <w:strike w:val="0"/>
          <w:noProof w:val="0"/>
          <w:color w:val="000000"/>
          <w:position w:val="0"/>
          <w:sz w:val="24"/>
          <w:u w:val="none"/>
          <w:vertAlign w:val="baseline"/>
        </w:rPr>
        <w:t xml:space="preserve">the owner authorizes patrons, customers, or guests to access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the person accessing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is an authorized patron, customer, or guest and complies with all terms or conditions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that are imposed by the owner;</w:t>
      </w:r>
    </w:p>
    <w:p>
      <w:pPr>
        <w:keepNext w:val="0"/>
        <w:spacing w:before="120" w:after="0" w:line="300" w:lineRule="atLeast"/>
        <w:ind w:left="1080" w:right="0"/>
        <w:jc w:val="left"/>
      </w:pPr>
      <w:r>
        <w:rPr>
          <w:b/>
        </w:rPr>
        <w:t xml:space="preserve">(2)  </w:t>
      </w:r>
      <w:bookmarkStart w:id="16" w:name="Bookmark__a-10_2"/>
      <w:bookmarkEnd w:id="16"/>
      <w:r>
        <w:rPr>
          <w:rFonts w:ascii="times" w:eastAsia="times" w:hAnsi="times" w:cs="times"/>
          <w:b w:val="0"/>
          <w:i w:val="0"/>
          <w:strike w:val="0"/>
          <w:noProof w:val="0"/>
          <w:color w:val="000000"/>
          <w:position w:val="0"/>
          <w:sz w:val="24"/>
          <w:u w:val="none"/>
          <w:vertAlign w:val="baseline"/>
        </w:rPr>
        <w:t xml:space="preserve">the owner authorizes the public to access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the person accessing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complies with all terms or conditions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that are imposed by the owner; or</w:t>
      </w:r>
    </w:p>
    <w:p>
      <w:pPr>
        <w:keepNext w:val="0"/>
        <w:spacing w:before="120" w:after="0" w:line="300" w:lineRule="atLeast"/>
        <w:ind w:left="1080" w:right="0"/>
        <w:jc w:val="left"/>
      </w:pPr>
      <w:r>
        <w:rPr>
          <w:b/>
        </w:rPr>
        <w:t xml:space="preserve">(3)  </w:t>
      </w:r>
      <w:bookmarkStart w:id="17" w:name="Bookmark__a-10_3"/>
      <w:bookmarkEnd w:id="17"/>
      <w:r>
        <w:rPr>
          <w:rFonts w:ascii="times" w:eastAsia="times" w:hAnsi="times" w:cs="times"/>
          <w:b w:val="0"/>
          <w:i w:val="0"/>
          <w:strike w:val="0"/>
          <w:noProof w:val="0"/>
          <w:color w:val="000000"/>
          <w:position w:val="0"/>
          <w:sz w:val="24"/>
          <w:u w:val="none"/>
          <w:vertAlign w:val="baseline"/>
        </w:rPr>
        <w:t xml:space="preserve">The person accesses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compliance with the Revised Uniform Fiduciary Access to Digital Assets Act (2015) [755 ILCS 70/1 et seq.].</w:t>
      </w:r>
    </w:p>
    <w:p>
      <w:pPr>
        <w:keepNext w:val="0"/>
        <w:spacing w:before="120" w:after="0" w:line="300" w:lineRule="atLeast"/>
        <w:ind w:left="720" w:right="0"/>
        <w:jc w:val="left"/>
      </w:pPr>
      <w:r>
        <w:rPr>
          <w:b/>
        </w:rPr>
        <w:t xml:space="preserve">(b)  </w:t>
      </w:r>
      <w:bookmarkStart w:id="18" w:name="Bookmark__b"/>
      <w:bookmarkEnd w:id="18"/>
      <w:r>
        <w:rPr>
          <w:rFonts w:ascii="times" w:eastAsia="times" w:hAnsi="times" w:cs="times"/>
          <w:b w:val="0"/>
          <w:i w:val="0"/>
          <w:strike w:val="0"/>
          <w:noProof w:val="0"/>
          <w:color w:val="000000"/>
          <w:position w:val="0"/>
          <w:sz w:val="24"/>
          <w:u w:val="none"/>
          <w:vertAlign w:val="baseline"/>
        </w:rPr>
        <w:t>Sentence.</w:t>
      </w:r>
    </w:p>
    <w:p>
      <w:pPr>
        <w:keepNext w:val="0"/>
        <w:spacing w:before="120" w:after="0" w:line="300" w:lineRule="atLeast"/>
        <w:ind w:left="1080" w:right="0"/>
        <w:jc w:val="left"/>
      </w:pPr>
      <w:r>
        <w:rPr>
          <w:b/>
        </w:rPr>
        <w:t xml:space="preserve">(1)  </w:t>
      </w:r>
      <w:bookmarkStart w:id="19" w:name="Bookmark__b_1"/>
      <w:bookmarkEnd w:id="19"/>
      <w:r>
        <w:rPr>
          <w:rFonts w:ascii="times" w:eastAsia="times" w:hAnsi="times" w:cs="times"/>
          <w:b w:val="0"/>
          <w:i w:val="0"/>
          <w:strike w:val="0"/>
          <w:noProof w:val="0"/>
          <w:color w:val="000000"/>
          <w:position w:val="0"/>
          <w:sz w:val="24"/>
          <w:u w:val="none"/>
          <w:vertAlign w:val="baseline"/>
        </w:rPr>
        <w:t xml:space="preserve">A person who commits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tampering as set forth in subdivision (a)(1) or (a)(5) or subsection (a-5) of this Section is guilty of a Class B misdemeanor.</w:t>
      </w:r>
    </w:p>
    <w:p>
      <w:pPr>
        <w:keepNext w:val="0"/>
        <w:spacing w:before="120" w:after="0" w:line="300" w:lineRule="atLeast"/>
        <w:ind w:left="1080" w:right="0"/>
        <w:jc w:val="left"/>
      </w:pPr>
      <w:r>
        <w:rPr>
          <w:b/>
        </w:rPr>
        <w:t xml:space="preserve">(2)  </w:t>
      </w:r>
      <w:bookmarkStart w:id="20" w:name="Bookmark__b_2"/>
      <w:bookmarkEnd w:id="20"/>
      <w:r>
        <w:rPr>
          <w:rFonts w:ascii="times" w:eastAsia="times" w:hAnsi="times" w:cs="times"/>
          <w:b w:val="0"/>
          <w:i w:val="0"/>
          <w:strike w:val="0"/>
          <w:noProof w:val="0"/>
          <w:color w:val="000000"/>
          <w:position w:val="0"/>
          <w:sz w:val="24"/>
          <w:u w:val="none"/>
          <w:vertAlign w:val="baseline"/>
        </w:rPr>
        <w:t xml:space="preserve">A person who commits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tampering as set forth in subdivision (a)(2) of this Section is guilty of a Class A misdemeanor and a Class 4 felony for the second or subsequent offense.</w:t>
      </w:r>
    </w:p>
    <w:p>
      <w:pPr>
        <w:keepNext w:val="0"/>
        <w:spacing w:before="120" w:after="0" w:line="300" w:lineRule="atLeast"/>
        <w:ind w:left="1080" w:right="0"/>
        <w:jc w:val="left"/>
      </w:pPr>
      <w:r>
        <w:rPr>
          <w:b/>
        </w:rPr>
        <w:t xml:space="preserve">(3)  </w:t>
      </w:r>
      <w:bookmarkStart w:id="21" w:name="Bookmark__b_3"/>
      <w:bookmarkEnd w:id="21"/>
      <w:r>
        <w:rPr>
          <w:rFonts w:ascii="times" w:eastAsia="times" w:hAnsi="times" w:cs="times"/>
          <w:b w:val="0"/>
          <w:i w:val="0"/>
          <w:strike w:val="0"/>
          <w:noProof w:val="0"/>
          <w:color w:val="000000"/>
          <w:position w:val="0"/>
          <w:sz w:val="24"/>
          <w:u w:val="none"/>
          <w:vertAlign w:val="baseline"/>
        </w:rPr>
        <w:t xml:space="preserve">A person who commits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tampering as set forth in subdivision (a)(3) or (a)(4) of this Section is guilty of a Class 4 felony and a Class 3 felony for the second or subsequent offense.</w:t>
      </w:r>
    </w:p>
    <w:p>
      <w:pPr>
        <w:keepNext w:val="0"/>
        <w:spacing w:before="120" w:after="0" w:line="300" w:lineRule="atLeast"/>
        <w:ind w:left="1080" w:right="0"/>
        <w:jc w:val="left"/>
      </w:pPr>
      <w:r>
        <w:rPr>
          <w:b/>
        </w:rPr>
        <w:t xml:space="preserve">(4)  </w:t>
      </w:r>
      <w:bookmarkStart w:id="22" w:name="Bookmark__b_4"/>
      <w:bookmarkEnd w:id="22"/>
      <w:r>
        <w:rPr>
          <w:rFonts w:ascii="times" w:eastAsia="times" w:hAnsi="times" w:cs="times"/>
          <w:b w:val="0"/>
          <w:i w:val="0"/>
          <w:strike w:val="0"/>
          <w:noProof w:val="0"/>
          <w:color w:val="000000"/>
          <w:position w:val="0"/>
          <w:sz w:val="24"/>
          <w:u w:val="none"/>
          <w:vertAlign w:val="baseline"/>
        </w:rPr>
        <w:t xml:space="preserve">If an injury arises from the transmission of unsolicited bulk electronic mail, the injured person, other than an electronic mail service provider, may also recover attorney’s fees and costs, and may elect, in lieu of actual damages, to recover the lesser of $10 for each unsolicited bulk electronic mail message transmitted in violation of this Section, or $25,000 per day. The injured person shall not have a cause of action against the electronic mail service provider that merely transmits the unsolicited bulk electronic mail over 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(5)  </w:t>
      </w:r>
      <w:bookmarkStart w:id="23" w:name="Bookmark__b_5"/>
      <w:bookmarkEnd w:id="23"/>
      <w:r>
        <w:rPr>
          <w:rFonts w:ascii="times" w:eastAsia="times" w:hAnsi="times" w:cs="times"/>
          <w:b w:val="0"/>
          <w:i w:val="0"/>
          <w:strike w:val="0"/>
          <w:noProof w:val="0"/>
          <w:color w:val="000000"/>
          <w:position w:val="0"/>
          <w:sz w:val="24"/>
          <w:u w:val="none"/>
          <w:vertAlign w:val="baseline"/>
        </w:rPr>
        <w:t>If an injury arises from the transmission of unsolicited bulk electronic mail, an injured electronic mail service provider may also recover attorney’s fees and costs, and may elect, in lieu of actual damages, to recover the greater of $10 for each unsolicited electronic mail advertisement transmitted in violation of this Section, or $25,000 per day.</w:t>
      </w:r>
    </w:p>
    <w:p>
      <w:pPr>
        <w:keepNext w:val="0"/>
        <w:spacing w:before="120" w:after="0" w:line="300" w:lineRule="atLeast"/>
        <w:ind w:left="1080" w:right="0"/>
        <w:jc w:val="left"/>
      </w:pPr>
      <w:r>
        <w:rPr>
          <w:b/>
        </w:rPr>
        <w:t xml:space="preserve">(6)  </w:t>
      </w:r>
      <w:bookmarkStart w:id="24" w:name="Bookmark__b_6"/>
      <w:bookmarkEnd w:id="24"/>
      <w:r>
        <w:rPr>
          <w:rFonts w:ascii="times" w:eastAsia="times" w:hAnsi="times" w:cs="times"/>
          <w:b w:val="0"/>
          <w:i w:val="0"/>
          <w:strike w:val="0"/>
          <w:noProof w:val="0"/>
          <w:color w:val="000000"/>
          <w:position w:val="0"/>
          <w:sz w:val="24"/>
          <w:u w:val="none"/>
          <w:vertAlign w:val="baseline"/>
        </w:rPr>
        <w:t>The provisions of this Section shall not be construed to limit any person’s right to pursue any additional civil remedy otherwise allowed by law.</w:t>
      </w:r>
    </w:p>
    <w:p>
      <w:pPr>
        <w:keepNext w:val="0"/>
        <w:spacing w:before="120" w:after="0" w:line="300" w:lineRule="atLeast"/>
        <w:ind w:left="720" w:right="0"/>
        <w:jc w:val="left"/>
      </w:pPr>
      <w:r>
        <w:rPr>
          <w:b/>
        </w:rPr>
        <w:t xml:space="preserve">(c)  </w:t>
      </w:r>
      <w:bookmarkStart w:id="25" w:name="Bookmark__c"/>
      <w:bookmarkEnd w:id="25"/>
      <w:r>
        <w:rPr>
          <w:rFonts w:ascii="times" w:eastAsia="times" w:hAnsi="times" w:cs="times"/>
          <w:b w:val="0"/>
          <w:i w:val="0"/>
          <w:strike w:val="0"/>
          <w:noProof w:val="0"/>
          <w:color w:val="000000"/>
          <w:position w:val="0"/>
          <w:sz w:val="24"/>
          <w:u w:val="none"/>
          <w:vertAlign w:val="baseline"/>
        </w:rPr>
        <w:t>Whoever suffers loss by reason of a violation of subdivision (a)(4) of this Section may, in a civil action against the violator, obtain appropriate relief. In a civil action under this Section, the court may award to the prevailing party reasonable attorney’s fees and other litigation expenses.</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86-762; 91-233, § 900; 95-326, § 5; 96-1000, § 600; 96-1551, § 17-51; 99-775, § 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720 ILCS 5/17-51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720 ILCS 5/17-51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