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215 ILCS 215/15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through P.A. 103-585 of the 2024 Regular Session of the 103rd General Assembly.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Compiled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215 INSURANCE (§§ 5/1 — 215/999)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Insurance Data Security Law (§§ 215/1 — 215/999)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215 ILCS 215/15 Investigation of 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 or may have occurred, the licensee, or an outside vendor or service provider designated to act on behalf of the licensee, shall conduct a prompt investigation.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During the investigation the licensee, or an outside vendor or service provider designated to act on behalf of the licensee, shall, at a minimum, comply with as many of the following as possible: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determine whether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assess the nature and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identify any nonpublic information that may have been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perform or oversee reasonable measures to restore the security of the information systems compromised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in order to prevent further unauthorized acquisition, release, or use of nonpublic information in the licensee’s possession, custody, or control.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7" w:name="Bookmark_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 or may have occurred in a system maintained by a third-party service provider, the licensee will complete the steps listed in subsection (b) or confirm and document that the third-party service provider has completed those steps.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8" w:name="Bookmark__d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licensee shall maintain records concerning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 for a period of at least 5 years from 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 shall produce those records upon demand of the Director.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2023 P.A. 103-142, § 15, effective January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Illinois Compiled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215 ILCS 215/15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215 ILCS 215/15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