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215 ILCS 215/20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215 INSURANCE (§§ 5/1 — 215/999)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Data Security Law (§§ 215/1 — 215/999)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215 ILCS 215/20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licensee shall notify the Director as promptly as possible but no later than 3 business days after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when either of the following criteria has been met: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this State is the licensee’s state of domicile, in the case of an insurer, or this State is the licensee’s home state, in the case of an insurance producer, as those terms are defined in Article XXXI of the Illinois Insurance Code [215 ILCS 5/500-5 et seq.],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any consumer residing in this State or any material part of the normal operations of the licensee; or</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licensee reasonably believes that the nonpublic information involved is of 250 or more consumers residing in this State and that is either of the following:</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impacting the licensee of which notice is required to be provided to any government body, self-regulatory agency, or any other supervisory body pursuant to any State or federal law; or</w:t>
      </w:r>
    </w:p>
    <w:p>
      <w:pPr>
        <w:keepNext w:val="0"/>
        <w:spacing w:before="120" w:after="0" w:line="300" w:lineRule="atLeast"/>
        <w:ind w:left="1440" w:right="0"/>
        <w:jc w:val="left"/>
      </w:pPr>
      <w:r>
        <w:rPr>
          <w:b/>
        </w:rPr>
        <w:t xml:space="preserve">(B)  </w:t>
      </w:r>
      <w:bookmarkStart w:id="5" w:name="Bookmark__a_2_b"/>
      <w:bookmarkEnd w:id="5"/>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w:t>
      </w:r>
    </w:p>
    <w:p>
      <w:pPr>
        <w:keepNext w:val="0"/>
        <w:spacing w:before="120" w:after="0" w:line="300" w:lineRule="atLeast"/>
        <w:ind w:left="1800" w:right="0"/>
        <w:jc w:val="left"/>
      </w:pPr>
      <w:r>
        <w:rPr>
          <w:b/>
        </w:rPr>
        <w:t xml:space="preserve">(i)  </w:t>
      </w:r>
      <w:bookmarkStart w:id="6" w:name="Bookmark__a_2_b_i"/>
      <w:bookmarkEnd w:id="6"/>
      <w:r>
        <w:rPr>
          <w:rFonts w:ascii="times" w:eastAsia="times" w:hAnsi="times" w:cs="times"/>
          <w:b w:val="0"/>
          <w:i w:val="0"/>
          <w:strike w:val="0"/>
          <w:noProof w:val="0"/>
          <w:color w:val="000000"/>
          <w:position w:val="0"/>
          <w:sz w:val="24"/>
          <w:u w:val="none"/>
          <w:vertAlign w:val="baseline"/>
        </w:rPr>
        <w:t>any consumer residing in this State; or</w:t>
      </w:r>
    </w:p>
    <w:p>
      <w:pPr>
        <w:keepNext w:val="0"/>
        <w:spacing w:before="120" w:after="0" w:line="300" w:lineRule="atLeast"/>
        <w:ind w:left="1800" w:right="0"/>
        <w:jc w:val="left"/>
      </w:pPr>
      <w:r>
        <w:rPr>
          <w:b/>
        </w:rPr>
        <w:t xml:space="preserve">(ii)  </w:t>
      </w:r>
      <w:bookmarkStart w:id="7" w:name="Bookmark__a_2_b_ii"/>
      <w:bookmarkEnd w:id="7"/>
      <w:r>
        <w:rPr>
          <w:rFonts w:ascii="times" w:eastAsia="times" w:hAnsi="times" w:cs="times"/>
          <w:b w:val="0"/>
          <w:i w:val="0"/>
          <w:strike w:val="0"/>
          <w:noProof w:val="0"/>
          <w:color w:val="000000"/>
          <w:position w:val="0"/>
          <w:sz w:val="24"/>
          <w:u w:val="none"/>
          <w:vertAlign w:val="baseline"/>
        </w:rPr>
        <w:t>any material part of the normal operations of the licensee.</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A licensee shall provide as much of the following information as possible:</w:t>
      </w:r>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10" w:name="Bookmark__b_2"/>
      <w:bookmarkEnd w:id="10"/>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(3)  </w:t>
      </w:r>
      <w:bookmarkStart w:id="11" w:name="Bookmark__b_3"/>
      <w:bookmarkEnd w:id="11"/>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(4)  </w:t>
      </w:r>
      <w:bookmarkStart w:id="12" w:name="Bookmark__b_4"/>
      <w:bookmarkEnd w:id="12"/>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it was recovered;</w:t>
      </w:r>
    </w:p>
    <w:p>
      <w:pPr>
        <w:keepNext w:val="0"/>
        <w:spacing w:before="120" w:after="0" w:line="300" w:lineRule="atLeast"/>
        <w:ind w:left="1080" w:right="0"/>
        <w:jc w:val="left"/>
      </w:pPr>
      <w:r>
        <w:rPr>
          <w:b/>
        </w:rPr>
        <w:t xml:space="preserve">(5)  </w:t>
      </w:r>
      <w:bookmarkStart w:id="13" w:name="Bookmark__b_5"/>
      <w:bookmarkEnd w:id="13"/>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(6)  </w:t>
      </w:r>
      <w:bookmarkStart w:id="14" w:name="Bookmark__b_6"/>
      <w:bookmarkEnd w:id="14"/>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if so, when such notification was provided;</w:t>
      </w:r>
    </w:p>
    <w:p>
      <w:pPr>
        <w:keepNext w:val="0"/>
        <w:spacing w:before="120" w:after="0" w:line="300" w:lineRule="atLeast"/>
        <w:ind w:left="1080" w:right="0"/>
        <w:jc w:val="left"/>
      </w:pPr>
      <w:r>
        <w:rPr>
          <w:b/>
        </w:rPr>
        <w:t xml:space="preserve">(7)  </w:t>
      </w:r>
      <w:bookmarkStart w:id="15" w:name="Bookmark__b_7"/>
      <w:bookmarkEnd w:id="15"/>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including types of medical information, types of financial information, or types of information allowing identification of the consumer;</w:t>
      </w:r>
    </w:p>
    <w:p>
      <w:pPr>
        <w:keepNext w:val="0"/>
        <w:spacing w:before="120" w:after="0" w:line="300" w:lineRule="atLeast"/>
        <w:ind w:left="1080" w:right="0"/>
        <w:jc w:val="left"/>
      </w:pPr>
      <w:r>
        <w:rPr>
          <w:b/>
        </w:rPr>
        <w:t xml:space="preserve">(8)  </w:t>
      </w:r>
      <w:bookmarkStart w:id="16" w:name="Bookmark__b_8"/>
      <w:bookmarkEnd w:id="16"/>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17" w:name="Bookmark__b_9"/>
      <w:bookmarkEnd w:id="17"/>
      <w:r>
        <w:rPr>
          <w:rFonts w:ascii="times" w:eastAsia="times" w:hAnsi="times" w:cs="times"/>
          <w:b w:val="0"/>
          <w:i w:val="0"/>
          <w:strike w:val="0"/>
          <w:noProof w:val="0"/>
          <w:color w:val="000000"/>
          <w:position w:val="0"/>
          <w:sz w:val="24"/>
          <w:u w:val="none"/>
          <w:vertAlign w:val="baseline"/>
        </w:rPr>
        <w:t xml:space="preserve">the number of total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the best estimate in the initial report to the Director and update this estimate with each subsequent report to the Director pursuant to this Section;</w:t>
      </w:r>
    </w:p>
    <w:p>
      <w:pPr>
        <w:keepNext w:val="0"/>
        <w:spacing w:before="120" w:after="0" w:line="300" w:lineRule="atLeast"/>
        <w:ind w:left="1080" w:right="0"/>
        <w:jc w:val="left"/>
      </w:pPr>
      <w:r>
        <w:rPr>
          <w:b/>
        </w:rPr>
        <w:t xml:space="preserve">(10)  </w:t>
      </w:r>
      <w:bookmarkStart w:id="18" w:name="Bookmark__b_10"/>
      <w:bookmarkEnd w:id="18"/>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080" w:right="0"/>
        <w:jc w:val="left"/>
      </w:pPr>
      <w:r>
        <w:rPr>
          <w:b/>
        </w:rPr>
        <w:t xml:space="preserve">(11)  </w:t>
      </w:r>
      <w:bookmarkStart w:id="19" w:name="Bookmark__b_11"/>
      <w:bookmarkEnd w:id="19"/>
      <w:r>
        <w:rPr>
          <w:rFonts w:ascii="times" w:eastAsia="times" w:hAnsi="times" w:cs="times"/>
          <w:b w:val="0"/>
          <w:i w:val="0"/>
          <w:strike w:val="0"/>
          <w:noProof w:val="0"/>
          <w:color w:val="000000"/>
          <w:position w:val="0"/>
          <w:sz w:val="24"/>
          <w:u w:val="none"/>
          <w:vertAlign w:val="baseline"/>
        </w:rPr>
        <w:t xml:space="preserve">a description of efforts being undertaken to remediate the situation which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080" w:right="0"/>
        <w:jc w:val="left"/>
      </w:pPr>
      <w:r>
        <w:rPr>
          <w:b/>
        </w:rPr>
        <w:t xml:space="preserve">(12)  </w:t>
      </w:r>
      <w:bookmarkStart w:id="20" w:name="Bookmark__b_12"/>
      <w:bookmarkEnd w:id="20"/>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(13)  </w:t>
      </w:r>
      <w:bookmarkStart w:id="21" w:name="Bookmark__b_13"/>
      <w:bookmarkEnd w:id="21"/>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licensee shall provide the information in electronic form as directed by the Director. The licensee shall have a continuing obligation to update and supplement initial and subsequent notifications to the Director regarding material changes to previously provided information relating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(c)  </w:t>
      </w:r>
      <w:bookmarkStart w:id="22" w:name="Bookmark__c"/>
      <w:bookmarkEnd w:id="22"/>
      <w:r>
        <w:rPr>
          <w:rFonts w:ascii="times" w:eastAsia="times" w:hAnsi="times" w:cs="times"/>
          <w:b w:val="0"/>
          <w:i w:val="0"/>
          <w:strike w:val="0"/>
          <w:noProof w:val="0"/>
          <w:color w:val="000000"/>
          <w:position w:val="0"/>
          <w:sz w:val="24"/>
          <w:u w:val="none"/>
          <w:vertAlign w:val="baseline"/>
        </w:rPr>
        <w:t>Licensees shall comply with the Personal Information Protection Act, as applicable, and provide a copy of the notice sent to consumers under that statute to the Director when a licensee is required to notify the Director under subsection (a).</w:t>
      </w:r>
    </w:p>
    <w:p>
      <w:pPr>
        <w:keepNext w:val="0"/>
        <w:spacing w:before="120" w:after="0" w:line="300" w:lineRule="atLeast"/>
        <w:ind w:left="720" w:right="0"/>
        <w:jc w:val="left"/>
      </w:pPr>
      <w:r>
        <w:rPr>
          <w:b/>
        </w:rPr>
        <w:t xml:space="preserve">(d)  </w:t>
      </w:r>
      <w:bookmarkStart w:id="23" w:name="Bookmark__d"/>
      <w:bookmarkEnd w:id="23"/>
      <w:r>
        <w:rPr>
          <w:rFonts w:ascii="times" w:eastAsia="times" w:hAnsi="times" w:cs="times"/>
          <w:b w:val="0"/>
          <w:i w:val="0"/>
          <w:strike w:val="0"/>
          <w:noProof w:val="0"/>
          <w:color w:val="000000"/>
          <w:position w:val="0"/>
          <w:sz w:val="24"/>
          <w:u w:val="none"/>
          <w:vertAlign w:val="baseline"/>
        </w:rPr>
        <w:t xml:space="preserve">If a licensee becomes aware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the licensee shall treat the event as it would under subsection (a) unless the third-party service provider provides the notice required under subsection (a) to the Director. The computation of licensee’s deadlines shall begin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720" w:right="0"/>
        <w:jc w:val="left"/>
      </w:pPr>
      <w:r>
        <w:rPr>
          <w:b/>
        </w:rPr>
        <w:t xml:space="preserve">(e)  </w:t>
      </w:r>
      <w:bookmarkStart w:id="24" w:name="Bookmark__e"/>
      <w:bookmarkEnd w:id="24"/>
      <w:r>
        <w:rPr>
          <w:rFonts w:ascii="times" w:eastAsia="times" w:hAnsi="times" w:cs="times"/>
          <w:b w:val="0"/>
          <w:i w:val="0"/>
          <w:strike w:val="0"/>
          <w:noProof w:val="0"/>
          <w:color w:val="000000"/>
          <w:position w:val="0"/>
          <w:sz w:val="24"/>
          <w:u w:val="none"/>
          <w:vertAlign w:val="baseline"/>
        </w:rPr>
        <w:t>Nothing in this Act shall prevent or abrogate an agreement between a licensee and another licensee, a third-party service provider, or any other party to fulfill any of the investigation requirements imposed under Section 15 or notice requirements imposed under this Section.</w:t>
      </w:r>
    </w:p>
    <w:p>
      <w:pPr>
        <w:keepNext w:val="0"/>
        <w:spacing w:before="120" w:after="0" w:line="300" w:lineRule="atLeast"/>
        <w:ind w:left="720" w:right="0"/>
        <w:jc w:val="left"/>
      </w:pPr>
      <w:r>
        <w:rPr>
          <w:b/>
        </w:rPr>
        <w:t xml:space="preserve">(f)  </w:t>
      </w:r>
      <w:bookmarkStart w:id="25" w:name="Bookmark__f"/>
      <w:bookmarkEnd w:id="25"/>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the licensee that is acting as an assuming insurer or in the possession, custody, or control of a licensee that is acting as an assuming insurer and that does not have a direct contractual relationship with the affected consumers, the assuming insurer shall notify its affected ceding insurers and the Director of its state of domicile within 3 business days after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that is an assuming insurer, the assuming insurer shall notify its affected ceding insurers and the Director of its state of domicile within 3 business days after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the Personal Information Protection Act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Section.</w:t>
      </w:r>
    </w:p>
    <w:p>
      <w:pPr>
        <w:keepNext w:val="0"/>
        <w:spacing w:before="120" w:after="0" w:line="300" w:lineRule="atLeast"/>
        <w:ind w:left="720" w:right="0"/>
        <w:jc w:val="left"/>
      </w:pPr>
      <w:r>
        <w:rPr>
          <w:b/>
        </w:rPr>
        <w:t xml:space="preserve">(g)  </w:t>
      </w:r>
      <w:bookmarkStart w:id="26" w:name="Bookmark__g"/>
      <w:bookmarkEnd w:id="26"/>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and for which a consumer accessed the insurer’s services through an independent insurance producer, the insurer shall notify the producers of record of all affected consumers as soon as practicable as directed by the Director. The insurer is excused from this obligation for those instances in which it does not have the current producer of record information for any individual consumer.</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P.A. 103-142, § 20, effective January 1, 2024.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215 ILCS 215/20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215 ILCS 215/20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