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27-2-27-22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27 Insurance (Arts.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Powers and Duties of Insurers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 Insurance Data Security (§§ 27-2-27-1 — 27-2-27-32)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27-2-27-22.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involving nonpublic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is used by a licensee acting as an assuming insurer;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is in the possession, custody, or control of a licensee that:</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is acting as an assuming insurer; and</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does not have a direct contractual relationship with the affected consumers;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the assuming insurer shall notify its affected ceding insurers and the commissioner of its state of domicile within three (3) business days after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and the ceding insurers that have a direct contractual relationship with affected consumers shall fulfill the consumer notification requirements imposed under IC 24-4.9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section 21(c) through 21(f) [IC 27-2-27-21(c) through IC 27-2-27-21(f)] of this chapter.</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 party service provider of a licensee that is an assuming insurer:</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 xml:space="preserve">the assuming insurer shall notify its affected ceding insurers and the commissioner of its state of domicile within three (3) business days after receiving notice from its third 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and</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IC 24-4.9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section 21(c) through 21(f) of this chapter.</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 xml:space="preserve">Except for the obligations set forth in this section, a licensee acting as assuming insurer has no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section 21 [IC 27-2-27-21] of this chapter or any other law of Indiana.</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P.L.130-2020, § 10,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27-2-27-22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27-2-27-22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