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216.2927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XVIII Public Health (Chs. 210 — 224A)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216 Health Facilities and Services (§§ 216.010 — 216.990)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Health </w:t>
      </w:r>
      <w:r>
        <w:rPr>
          <w:rFonts w:ascii="times" w:eastAsia="times" w:hAnsi="times" w:cs="times"/>
          <w:b/>
          <w:i/>
          <w:strike w:val="0"/>
          <w:noProof w:val="0"/>
          <w:color w:val="000000"/>
          <w:position w:val="0"/>
          <w:sz w:val="22"/>
          <w:u w:val="none"/>
          <w:vertAlign w:val="baseline"/>
        </w:rPr>
        <w:t>Data</w:t>
      </w:r>
      <w:r>
        <w:rPr>
          <w:rFonts w:ascii="times" w:eastAsia="times" w:hAnsi="times" w:cs="times"/>
          <w:b/>
          <w:i/>
          <w:strike w:val="0"/>
          <w:noProof w:val="0"/>
          <w:color w:val="000000"/>
          <w:position w:val="0"/>
          <w:sz w:val="22"/>
          <w:u w:val="none"/>
          <w:vertAlign w:val="baseline"/>
        </w:rPr>
        <w:t xml:space="preserve"> Collection (§§ 216.2920 — 216.2929)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216.2927. Types of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not to be published, released, or subject to inspection — Public-use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agreements and privacy rules — Confidentiality of raw </w:t>
      </w:r>
      <w:r>
        <w:rPr>
          <w:rFonts w:ascii="times" w:eastAsia="times" w:hAnsi="times" w:cs="times"/>
          <w:b/>
          <w:i w:val="0"/>
          <w:strike w:val="0"/>
          <w:noProof w:val="0"/>
          <w:color w:val="000000"/>
          <w:position w:val="0"/>
          <w:sz w:val="28"/>
          <w:u w:val="none"/>
          <w:vertAlign w:val="baseline"/>
        </w:rPr>
        <w:t>data</w:t>
      </w:r>
      <w:r>
        <w:rPr>
          <w:rFonts w:ascii="times" w:eastAsia="times" w:hAnsi="times" w:cs="times"/>
          <w:b/>
          <w:i w:val="0"/>
          <w:strike w:val="0"/>
          <w:noProof w:val="0"/>
          <w:color w:val="000000"/>
          <w:position w:val="0"/>
          <w:sz w:val="28"/>
          <w:u w:val="none"/>
          <w:vertAlign w:val="baseline"/>
        </w:rPr>
        <w:t xml:space="preserve"> — Penalty for violation.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following types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be deemed as relating to personal privacy and, except by court order, shall not be published or otherwise released by the cabinet or its staff and shall not be subject to inspection under KRS 61.870 to 61.884:</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summary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correspondence, or notes that identify or could be used to identify any individual patient or member of the general public, unless the identified individual gives written permission to release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correspondence;</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Any correspondence or related notes from or to any employee or employees of a provider if the correspondence or notes identify or could be used to identify any individual employee of a provider, unless the corresponding persons grant permission to release the correspondence; and</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considered by the cabinet to be incomplete, preliminary, substantially in error, or not representative, the release of which could produce misleading information.</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 xml:space="preserve">Health-care providers submitting required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the cabinet shall not be required to obtain individual permission to release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except as specified in subsection (1) of this section, and, if submission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to the cabinet complies with pertinent administrative regulations promulgated pursuant to KRS Chapter 13A, shall not be deemed as having violated any statute or administrative regulation protecting individual privacy.</w:t>
      </w:r>
    </w:p>
    <w:p>
      <w:pPr>
        <w:spacing w:before="120" w:line="240" w:lineRule="atLeast"/>
        <w:ind w:left="720"/>
      </w:pPr>
      <w:r>
        <w:rPr>
          <w:b/>
        </w:rPr>
        <w:t xml:space="preserve">(3)  </w:t>
      </w:r>
      <w:bookmarkStart w:id="6" w:name="Bookmark__3"/>
      <w:bookmarkEnd w:id="6"/>
    </w:p>
    <w:p>
      <w:pPr>
        <w:keepNext w:val="0"/>
        <w:spacing w:before="120" w:after="0" w:line="300" w:lineRule="atLeast"/>
        <w:ind w:left="1080" w:right="0"/>
        <w:jc w:val="left"/>
      </w:pPr>
      <w:r>
        <w:rPr>
          <w:b/>
        </w:rPr>
        <w:t xml:space="preserve">(a)  </w:t>
      </w:r>
      <w:bookmarkStart w:id="7" w:name="Bookmark__3_a"/>
      <w:bookmarkEnd w:id="7"/>
      <w:r>
        <w:rPr>
          <w:rFonts w:ascii="times" w:eastAsia="times" w:hAnsi="times" w:cs="times"/>
          <w:b w:val="0"/>
          <w:i w:val="0"/>
          <w:strike w:val="0"/>
          <w:noProof w:val="0"/>
          <w:color w:val="000000"/>
          <w:position w:val="0"/>
          <w:sz w:val="24"/>
          <w:u w:val="none"/>
          <w:vertAlign w:val="baseline"/>
        </w:rPr>
        <w:t xml:space="preserve">No less than sixty (60) days after the annual report or reports are published and except as otherwise provided, the cabinet shall make all aggregate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which does not allow disclosure of the identity of any individual patient, and which was obtained for the annual period covered by the reports, available to the public.</w:t>
      </w:r>
    </w:p>
    <w:p>
      <w:pPr>
        <w:keepNext w:val="0"/>
        <w:spacing w:before="120" w:after="0" w:line="300" w:lineRule="atLeast"/>
        <w:ind w:left="1080" w:right="0"/>
        <w:jc w:val="left"/>
      </w:pPr>
      <w:r>
        <w:rPr>
          <w:b/>
        </w:rPr>
        <w:t xml:space="preserve">(b)  </w:t>
      </w:r>
      <w:bookmarkStart w:id="8" w:name="Bookmark__3_b"/>
      <w:bookmarkEnd w:id="8"/>
      <w:r>
        <w:rPr>
          <w:rFonts w:ascii="times" w:eastAsia="times" w:hAnsi="times" w:cs="times"/>
          <w:b w:val="0"/>
          <w:i w:val="0"/>
          <w:strike w:val="0"/>
          <w:noProof w:val="0"/>
          <w:color w:val="000000"/>
          <w:position w:val="0"/>
          <w:sz w:val="24"/>
          <w:u w:val="none"/>
          <w:vertAlign w:val="baseline"/>
        </w:rPr>
        <w:t xml:space="preserve">Persons or organizations requesting use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shall agree to abide by a public-use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agreement and by HIPAA privacy rules referenced in 45 C.F.R. Part 164. The public-use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agreement shall include, at a minimum, a prohibition against the sale or further release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guidelines for the use and analysis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released to the public related to provider quality, outcomes, or charges.</w:t>
      </w:r>
    </w:p>
    <w:p>
      <w:pPr>
        <w:keepNext w:val="0"/>
        <w:spacing w:before="120" w:after="0" w:line="300" w:lineRule="atLeast"/>
        <w:ind w:left="720" w:right="0"/>
        <w:jc w:val="left"/>
      </w:pPr>
      <w:r>
        <w:rPr>
          <w:b/>
        </w:rPr>
        <w:t xml:space="preserve">(4)  </w:t>
      </w:r>
      <w:bookmarkStart w:id="9" w:name="Bookmark__4"/>
      <w:bookmarkEnd w:id="9"/>
      <w:r>
        <w:rPr>
          <w:rFonts w:ascii="times" w:eastAsia="times" w:hAnsi="times" w:cs="times"/>
          <w:b w:val="0"/>
          <w:i w:val="0"/>
          <w:strike w:val="0"/>
          <w:noProof w:val="0"/>
          <w:color w:val="000000"/>
          <w:position w:val="0"/>
          <w:sz w:val="24"/>
          <w:u w:val="none"/>
          <w:vertAlign w:val="baseline"/>
        </w:rPr>
        <w:t xml:space="preserve">Collection of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about individual patients shall include information commonly used to identify an individual for assigning a unique patient identifier. Upon assigning a unique patient identifier, all direct identifying information shall be stripped from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shall not be retained by the cabinet or the cabinet’s designee.</w:t>
      </w:r>
    </w:p>
    <w:p>
      <w:pPr>
        <w:keepNext w:val="0"/>
        <w:spacing w:before="120" w:after="0" w:line="300" w:lineRule="atLeast"/>
        <w:ind w:left="720" w:right="0"/>
        <w:jc w:val="left"/>
      </w:pPr>
      <w:r>
        <w:rPr>
          <w:b/>
        </w:rPr>
        <w:t xml:space="preserve">(5)  </w:t>
      </w:r>
      <w:bookmarkStart w:id="10" w:name="Bookmark__5"/>
      <w:bookmarkEnd w:id="10"/>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information collected shall be kept in a secure location and under lock and key when specifically responsible personnel are absent.</w:t>
      </w:r>
    </w:p>
    <w:p>
      <w:pPr>
        <w:keepNext w:val="0"/>
        <w:spacing w:before="120" w:after="0" w:line="300" w:lineRule="atLeast"/>
        <w:ind w:left="720" w:right="0"/>
        <w:jc w:val="left"/>
      </w:pPr>
      <w:r>
        <w:rPr>
          <w:b/>
        </w:rPr>
        <w:t xml:space="preserve">(6)  </w:t>
      </w:r>
      <w:bookmarkStart w:id="11" w:name="Bookmark__6"/>
      <w:bookmarkEnd w:id="11"/>
      <w:r>
        <w:rPr>
          <w:rFonts w:ascii="times" w:eastAsia="times" w:hAnsi="times" w:cs="times"/>
          <w:b w:val="0"/>
          <w:i w:val="0"/>
          <w:strike w:val="0"/>
          <w:noProof w:val="0"/>
          <w:color w:val="000000"/>
          <w:position w:val="0"/>
          <w:sz w:val="24"/>
          <w:u w:val="none"/>
          <w:vertAlign w:val="baseline"/>
        </w:rPr>
        <w:t xml:space="preserve">Only designated cabinet staff shall have access to raw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information. The designated staff shall be made aware of their responsibilities to maintain confidentiality. Staff with access to raw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and information shall sign a statement indicating that the staff person accepts responsibility to hold that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or identifying information in confidence and is aware of penalties under state or federal law for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confidentiality.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which, because of small sample size, </w:t>
      </w:r>
      <w:r>
        <w:rPr>
          <w:rFonts w:ascii="times" w:eastAsia="times" w:hAnsi="times" w:cs="times"/>
          <w:b w:val="0"/>
          <w:i w:val="0"/>
          <w:strike w:val="0"/>
          <w:noProof w:val="0"/>
          <w:color w:val="000000"/>
          <w:position w:val="0"/>
          <w:sz w:val="24"/>
          <w:u w:val="none"/>
          <w:vertAlign w:val="baseline"/>
        </w:rPr>
        <w:t>breaches</w:t>
      </w:r>
      <w:r>
        <w:rPr>
          <w:rFonts w:ascii="times" w:eastAsia="times" w:hAnsi="times" w:cs="times"/>
          <w:b w:val="0"/>
          <w:i w:val="0"/>
          <w:strike w:val="0"/>
          <w:noProof w:val="0"/>
          <w:color w:val="000000"/>
          <w:position w:val="0"/>
          <w:sz w:val="24"/>
          <w:u w:val="none"/>
          <w:vertAlign w:val="baseline"/>
        </w:rPr>
        <w:t xml:space="preserve"> the confidence of individual patients, shall not be released.</w:t>
      </w:r>
    </w:p>
    <w:p>
      <w:pPr>
        <w:keepNext w:val="0"/>
        <w:spacing w:before="120" w:after="0" w:line="300" w:lineRule="atLeast"/>
        <w:ind w:left="720" w:right="0"/>
        <w:jc w:val="left"/>
      </w:pPr>
      <w:r>
        <w:rPr>
          <w:b/>
        </w:rPr>
        <w:t xml:space="preserve">(7)  </w:t>
      </w:r>
      <w:bookmarkStart w:id="12" w:name="Bookmark__7"/>
      <w:bookmarkEnd w:id="12"/>
      <w:r>
        <w:rPr>
          <w:rFonts w:ascii="times" w:eastAsia="times" w:hAnsi="times" w:cs="times"/>
          <w:b w:val="0"/>
          <w:i w:val="0"/>
          <w:strike w:val="0"/>
          <w:noProof w:val="0"/>
          <w:color w:val="000000"/>
          <w:position w:val="0"/>
          <w:sz w:val="24"/>
          <w:u w:val="none"/>
          <w:vertAlign w:val="baseline"/>
        </w:rPr>
        <w:t>Any employee of the cabinet who violates any provision of this section shall be fined not more than five hundred dollars ($500) for each violation or be confined in the county jail for not more than six (6) months, or both, and shall be removed and disqualified from office or employment.</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1994, ch. 512, Part 2, § 9, effective July 15, 1994; 1996, ch. 371, § 28, effective July 15, 1996; 2008, ch. 71, § 3, effective July 15, 2008; 2017 ch. 80, § 48, effective June 29, 2017; 2018 ch. 143, § 1, effective July 14, 2018.</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KRS § 216.2927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KRS § 216.2927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222375415</vt:lpwstr>
  </property>
  <property fmtid="{D5CDD505-2E9C-101B-9397-08002B2CF9AE}" pid="3" name="LADocCount">
    <vt:lpwstr>1</vt:lpwstr>
  </property>
  <property fmtid="{D5CDD505-2E9C-101B-9397-08002B2CF9AE}" pid="4" name="LADocumentID:urn:contentItem:8RGB-F5Y2-D6RV-H11N-00000-00">
    <vt:lpwstr>Doc::/shared/document|contextualFeaturePermID::1516831</vt:lpwstr>
  </property>
  <property fmtid="{D5CDD505-2E9C-101B-9397-08002B2CF9AE}" pid="5" name="UserPermID">
    <vt:lpwstr>urn:user:PA186163333</vt:lpwstr>
  </property>
</Properties>
</file>