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304.3-760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XXV Business and Financial Institutions (Chs. 286 — 307)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304 Insurance Code (§§ 304.001 — 304.99-154)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Authorization of Insurers and General Requirements (§§ 304.3-010 — 304.3-768)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Data Security (§§ 304.3-750 — 304.3-768)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304.3-760. Notification to commissioner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 Procedures.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Each licensee shall notify the commissioner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of the licensee as promptly as possible, but in no event later than three (3)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if:</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In the case of an insurer, this state is the licensee’s state of domicile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harming any material part of normal operations of the licensee;</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In the case of an insurance producer, this state is the licensee’s home state, as those terms are defined in KRS 304.9-020; or</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The licensee reasonably believes that:</w:t>
      </w:r>
    </w:p>
    <w:p>
      <w:pPr>
        <w:keepNext w:val="0"/>
        <w:spacing w:before="120" w:after="0" w:line="300" w:lineRule="atLeast"/>
        <w:ind w:left="1440" w:right="0"/>
        <w:jc w:val="left"/>
      </w:pPr>
      <w:r>
        <w:rPr>
          <w:b/>
        </w:rPr>
        <w:t xml:space="preserve">1.  </w:t>
      </w:r>
      <w:bookmarkStart w:id="5" w:name="Bookmark__1_c_1"/>
      <w:bookmarkEnd w:id="5"/>
      <w:r>
        <w:rPr>
          <w:rFonts w:ascii="times" w:eastAsia="times" w:hAnsi="times" w:cs="times"/>
          <w:b w:val="0"/>
          <w:i w:val="0"/>
          <w:strike w:val="0"/>
          <w:noProof w:val="0"/>
          <w:color w:val="000000"/>
          <w:position w:val="0"/>
          <w:sz w:val="24"/>
          <w:u w:val="none"/>
          <w:vertAlign w:val="baseline"/>
        </w:rPr>
        <w:t xml:space="preserve">The nonpublic information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related to two hundred fifty (250) or more consumers residing in this state; and</w:t>
      </w:r>
    </w:p>
    <w:p>
      <w:pPr>
        <w:keepNext w:val="0"/>
        <w:spacing w:before="120" w:after="0" w:line="300" w:lineRule="atLeast"/>
        <w:ind w:left="1440" w:right="0"/>
        <w:jc w:val="left"/>
      </w:pPr>
      <w:r>
        <w:rPr>
          <w:b/>
        </w:rPr>
        <w:t xml:space="preserve">2.  </w:t>
      </w:r>
      <w:bookmarkStart w:id="6" w:name="Bookmark__1_c_2"/>
      <w:bookmarkEnd w:id="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either of the following:</w:t>
      </w:r>
    </w:p>
    <w:p>
      <w:pPr>
        <w:keepNext w:val="0"/>
        <w:spacing w:before="120" w:after="0" w:line="300" w:lineRule="atLeast"/>
        <w:ind w:left="1800" w:right="0"/>
        <w:jc w:val="left"/>
      </w:pPr>
      <w:r>
        <w:rPr>
          <w:b/>
        </w:rPr>
        <w:t xml:space="preserve">a.  </w:t>
      </w:r>
      <w:bookmarkStart w:id="7" w:name="Bookmark__1_c_2_a"/>
      <w:bookmarkEnd w:id="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requiring the licensee to provide notice to any governmental body, self-regulatory agency, or any other supervisory body pursuant to any state or federal law; or</w:t>
      </w:r>
    </w:p>
    <w:p>
      <w:pPr>
        <w:keepNext w:val="0"/>
        <w:spacing w:before="120" w:after="0" w:line="300" w:lineRule="atLeast"/>
        <w:ind w:left="1800" w:right="0"/>
        <w:jc w:val="left"/>
      </w:pPr>
      <w:r>
        <w:rPr>
          <w:b/>
        </w:rPr>
        <w:t xml:space="preserve">b.  </w:t>
      </w:r>
      <w:bookmarkStart w:id="8" w:name="Bookmark__1_c_2_b"/>
      <w:bookmarkEnd w:id="8"/>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 any:</w:t>
      </w:r>
    </w:p>
    <w:p>
      <w:pPr>
        <w:keepNext w:val="0"/>
        <w:spacing w:before="120" w:after="0" w:line="300" w:lineRule="atLeast"/>
        <w:ind w:left="2160" w:right="0"/>
        <w:jc w:val="left"/>
      </w:pPr>
      <w:r>
        <w:rPr>
          <w:b/>
        </w:rPr>
        <w:t xml:space="preserve">i.  </w:t>
      </w:r>
      <w:bookmarkStart w:id="9" w:name="Bookmark__1_c_2_b_i"/>
      <w:bookmarkEnd w:id="9"/>
      <w:r>
        <w:rPr>
          <w:rFonts w:ascii="times" w:eastAsia="times" w:hAnsi="times" w:cs="times"/>
          <w:b w:val="0"/>
          <w:i w:val="0"/>
          <w:strike w:val="0"/>
          <w:noProof w:val="0"/>
          <w:color w:val="000000"/>
          <w:position w:val="0"/>
          <w:sz w:val="24"/>
          <w:u w:val="none"/>
          <w:vertAlign w:val="baseline"/>
        </w:rPr>
        <w:t>Consumer residing in this state; or</w:t>
      </w:r>
    </w:p>
    <w:p>
      <w:pPr>
        <w:keepNext w:val="0"/>
        <w:spacing w:before="120" w:after="0" w:line="300" w:lineRule="atLeast"/>
        <w:ind w:left="2160" w:right="0"/>
        <w:jc w:val="left"/>
      </w:pPr>
      <w:r>
        <w:rPr>
          <w:b/>
        </w:rPr>
        <w:t xml:space="preserve">ii.  </w:t>
      </w:r>
      <w:bookmarkStart w:id="10" w:name="Bookmark__1_c_2_b_ii"/>
      <w:bookmarkEnd w:id="10"/>
      <w:r>
        <w:rPr>
          <w:rFonts w:ascii="times" w:eastAsia="times" w:hAnsi="times" w:cs="times"/>
          <w:b w:val="0"/>
          <w:i w:val="0"/>
          <w:strike w:val="0"/>
          <w:noProof w:val="0"/>
          <w:color w:val="000000"/>
          <w:position w:val="0"/>
          <w:sz w:val="24"/>
          <w:u w:val="none"/>
          <w:vertAlign w:val="baseline"/>
        </w:rPr>
        <w:t>Material part of the normal operations of the licensee.</w:t>
      </w:r>
    </w:p>
    <w:p>
      <w:pPr>
        <w:spacing w:before="120" w:line="240" w:lineRule="atLeast"/>
        <w:ind w:left="720"/>
      </w:pPr>
      <w:r>
        <w:rPr>
          <w:b/>
        </w:rPr>
        <w:t xml:space="preserve">(2)  </w:t>
      </w:r>
      <w:bookmarkStart w:id="11" w:name="Bookmark__2"/>
      <w:bookmarkEnd w:id="11"/>
    </w:p>
    <w:p>
      <w:pPr>
        <w:keepNext w:val="0"/>
        <w:spacing w:before="120" w:after="0" w:line="300" w:lineRule="atLeast"/>
        <w:ind w:left="1080" w:right="0"/>
        <w:jc w:val="left"/>
      </w:pPr>
      <w:r>
        <w:rPr>
          <w:b/>
        </w:rPr>
        <w:t xml:space="preserve">(a)  </w:t>
      </w:r>
      <w:bookmarkStart w:id="12" w:name="Bookmark__2_a"/>
      <w:bookmarkEnd w:id="12"/>
      <w:r>
        <w:rPr>
          <w:rFonts w:ascii="times" w:eastAsia="times" w:hAnsi="times" w:cs="times"/>
          <w:b w:val="0"/>
          <w:i w:val="0"/>
          <w:strike w:val="0"/>
          <w:noProof w:val="0"/>
          <w:color w:val="000000"/>
          <w:position w:val="0"/>
          <w:sz w:val="24"/>
          <w:u w:val="none"/>
          <w:vertAlign w:val="baseline"/>
        </w:rPr>
        <w:t>In its notification to the commissioner under subsection (1) of this section, the licensee shall provide, in an electronic form prescribed by the commissioner, the following information:</w:t>
      </w:r>
    </w:p>
    <w:p>
      <w:pPr>
        <w:keepNext w:val="0"/>
        <w:spacing w:before="120" w:after="0" w:line="300" w:lineRule="atLeast"/>
        <w:ind w:left="1440" w:right="0"/>
        <w:jc w:val="left"/>
      </w:pPr>
      <w:r>
        <w:rPr>
          <w:b/>
        </w:rPr>
        <w:t xml:space="preserve">1.  </w:t>
      </w:r>
      <w:bookmarkStart w:id="13" w:name="Bookmark__2_a_1"/>
      <w:bookmarkEnd w:id="13"/>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2.  </w:t>
      </w:r>
      <w:bookmarkStart w:id="14" w:name="Bookmark__2_a_2"/>
      <w:bookmarkEnd w:id="14"/>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third-party service providers, if any;</w:t>
      </w:r>
    </w:p>
    <w:p>
      <w:pPr>
        <w:keepNext w:val="0"/>
        <w:spacing w:before="120" w:after="0" w:line="300" w:lineRule="atLeast"/>
        <w:ind w:left="1440" w:right="0"/>
        <w:jc w:val="left"/>
      </w:pPr>
      <w:r>
        <w:rPr>
          <w:b/>
        </w:rPr>
        <w:t xml:space="preserve">3.  </w:t>
      </w:r>
      <w:bookmarkStart w:id="15" w:name="Bookmark__2_a_3"/>
      <w:bookmarkEnd w:id="15"/>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440" w:right="0"/>
        <w:jc w:val="left"/>
      </w:pPr>
      <w:r>
        <w:rPr>
          <w:b/>
        </w:rPr>
        <w:t xml:space="preserve">4.  </w:t>
      </w:r>
      <w:bookmarkStart w:id="16" w:name="Bookmark__2_a_4"/>
      <w:bookmarkEnd w:id="16"/>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the information was recovered;</w:t>
      </w:r>
    </w:p>
    <w:p>
      <w:pPr>
        <w:keepNext w:val="0"/>
        <w:spacing w:before="120" w:after="0" w:line="300" w:lineRule="atLeast"/>
        <w:ind w:left="1440" w:right="0"/>
        <w:jc w:val="left"/>
      </w:pPr>
      <w:r>
        <w:rPr>
          <w:b/>
        </w:rPr>
        <w:t xml:space="preserve">5.  </w:t>
      </w:r>
      <w:bookmarkStart w:id="17" w:name="Bookmark__2_a_5"/>
      <w:bookmarkEnd w:id="17"/>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6.  </w:t>
      </w:r>
      <w:bookmarkStart w:id="18" w:name="Bookmark__2_a_6"/>
      <w:bookmarkEnd w:id="18"/>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the notification was provided;</w:t>
      </w:r>
    </w:p>
    <w:p>
      <w:pPr>
        <w:keepNext w:val="0"/>
        <w:spacing w:before="120" w:after="0" w:line="300" w:lineRule="atLeast"/>
        <w:ind w:left="1440" w:right="0"/>
        <w:jc w:val="left"/>
      </w:pPr>
      <w:r>
        <w:rPr>
          <w:b/>
        </w:rPr>
        <w:t xml:space="preserve">7.  </w:t>
      </w:r>
      <w:bookmarkStart w:id="19" w:name="Bookmark__2_a_7"/>
      <w:bookmarkEnd w:id="19"/>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including but not limited to types of medical information, financial information, or information allowing identification of the consumer;</w:t>
      </w:r>
    </w:p>
    <w:p>
      <w:pPr>
        <w:keepNext w:val="0"/>
        <w:spacing w:before="120" w:after="0" w:line="300" w:lineRule="atLeast"/>
        <w:ind w:left="1440" w:right="0"/>
        <w:jc w:val="left"/>
      </w:pPr>
      <w:r>
        <w:rPr>
          <w:b/>
        </w:rPr>
        <w:t xml:space="preserve">8.  </w:t>
      </w:r>
      <w:bookmarkStart w:id="20" w:name="Bookmark__2_a_8"/>
      <w:bookmarkEnd w:id="20"/>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9.  </w:t>
      </w:r>
      <w:bookmarkStart w:id="21" w:name="Bookmark__2_a_9"/>
      <w:bookmarkEnd w:id="21"/>
      <w:r>
        <w:rPr>
          <w:rFonts w:ascii="times" w:eastAsia="times" w:hAnsi="times" w:cs="times"/>
          <w:b w:val="0"/>
          <w:i w:val="0"/>
          <w:strike w:val="0"/>
          <w:noProof w:val="0"/>
          <w:color w:val="000000"/>
          <w:position w:val="0"/>
          <w:sz w:val="24"/>
          <w:u w:val="none"/>
          <w:vertAlign w:val="baseline"/>
        </w:rPr>
        <w:t xml:space="preserve">The licensee’s best estimate of 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 shall be updated with each subsequent report to the commissioner pursuant to this section;</w:t>
      </w:r>
    </w:p>
    <w:p>
      <w:pPr>
        <w:keepNext w:val="0"/>
        <w:spacing w:before="120" w:after="0" w:line="300" w:lineRule="atLeast"/>
        <w:ind w:left="1440" w:right="0"/>
        <w:jc w:val="left"/>
      </w:pPr>
      <w:r>
        <w:rPr>
          <w:b/>
        </w:rPr>
        <w:t xml:space="preserve">10.  </w:t>
      </w:r>
      <w:bookmarkStart w:id="22" w:name="Bookmark__2_a_10"/>
      <w:bookmarkEnd w:id="22"/>
      <w:r>
        <w:rPr>
          <w:rFonts w:ascii="times" w:eastAsia="times" w:hAnsi="times" w:cs="times"/>
          <w:b w:val="0"/>
          <w:i w:val="0"/>
          <w:strike w:val="0"/>
          <w:noProof w:val="0"/>
          <w:color w:val="000000"/>
          <w:position w:val="0"/>
          <w:sz w:val="24"/>
          <w:u w:val="none"/>
          <w:vertAlign w:val="baseline"/>
        </w:rPr>
        <w:t>The results of any internal review:</w:t>
      </w:r>
    </w:p>
    <w:p>
      <w:pPr>
        <w:keepNext w:val="0"/>
        <w:spacing w:before="120" w:after="0" w:line="300" w:lineRule="atLeast"/>
        <w:ind w:left="1800" w:right="0"/>
        <w:jc w:val="left"/>
      </w:pPr>
      <w:r>
        <w:rPr>
          <w:b/>
        </w:rPr>
        <w:t xml:space="preserve">a.  </w:t>
      </w:r>
      <w:bookmarkStart w:id="23" w:name="Bookmark__2_a_10_a"/>
      <w:bookmarkEnd w:id="23"/>
      <w:r>
        <w:rPr>
          <w:rFonts w:ascii="times" w:eastAsia="times" w:hAnsi="times" w:cs="times"/>
          <w:b w:val="0"/>
          <w:i w:val="0"/>
          <w:strike w:val="0"/>
          <w:noProof w:val="0"/>
          <w:color w:val="000000"/>
          <w:position w:val="0"/>
          <w:sz w:val="24"/>
          <w:u w:val="none"/>
          <w:vertAlign w:val="baseline"/>
        </w:rPr>
        <w:t>Identifying a lapse in automated controls or internal procedures; or</w:t>
      </w:r>
    </w:p>
    <w:p>
      <w:pPr>
        <w:keepNext w:val="0"/>
        <w:spacing w:before="120" w:after="0" w:line="300" w:lineRule="atLeast"/>
        <w:ind w:left="1800" w:right="0"/>
        <w:jc w:val="left"/>
      </w:pPr>
      <w:r>
        <w:rPr>
          <w:b/>
        </w:rPr>
        <w:t xml:space="preserve">b.  </w:t>
      </w:r>
      <w:bookmarkStart w:id="24" w:name="Bookmark__2_a_10_b"/>
      <w:bookmarkEnd w:id="24"/>
      <w:r>
        <w:rPr>
          <w:rFonts w:ascii="times" w:eastAsia="times" w:hAnsi="times" w:cs="times"/>
          <w:b w:val="0"/>
          <w:i w:val="0"/>
          <w:strike w:val="0"/>
          <w:noProof w:val="0"/>
          <w:color w:val="000000"/>
          <w:position w:val="0"/>
          <w:sz w:val="24"/>
          <w:u w:val="none"/>
          <w:vertAlign w:val="baseline"/>
        </w:rPr>
        <w:t>Confirming that all automated controls or internal procedures were followed;</w:t>
      </w:r>
    </w:p>
    <w:p>
      <w:pPr>
        <w:keepNext w:val="0"/>
        <w:spacing w:before="120" w:after="0" w:line="300" w:lineRule="atLeast"/>
        <w:ind w:left="1440" w:right="0"/>
        <w:jc w:val="left"/>
      </w:pPr>
      <w:r>
        <w:rPr>
          <w:b/>
        </w:rPr>
        <w:t xml:space="preserve">11.  </w:t>
      </w:r>
      <w:bookmarkStart w:id="25" w:name="Bookmark__2_a_11"/>
      <w:bookmarkEnd w:id="25"/>
      <w:r>
        <w:rPr>
          <w:rFonts w:ascii="times" w:eastAsia="times" w:hAnsi="times" w:cs="times"/>
          <w:b w:val="0"/>
          <w:i w:val="0"/>
          <w:strike w:val="0"/>
          <w:noProof w:val="0"/>
          <w:color w:val="000000"/>
          <w:position w:val="0"/>
          <w:sz w:val="24"/>
          <w:u w:val="none"/>
          <w:vertAlign w:val="baseline"/>
        </w:rPr>
        <w:t xml:space="preserve">A description of the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440" w:right="0"/>
        <w:jc w:val="left"/>
      </w:pPr>
      <w:r>
        <w:rPr>
          <w:b/>
        </w:rPr>
        <w:t xml:space="preserve">12.  </w:t>
      </w:r>
      <w:bookmarkStart w:id="26" w:name="Bookmark__2_a_12"/>
      <w:bookmarkEnd w:id="26"/>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13.  </w:t>
      </w:r>
      <w:bookmarkStart w:id="27" w:name="Bookmark__2_a_13"/>
      <w:bookmarkEnd w:id="27"/>
      <w:r>
        <w:rPr>
          <w:rFonts w:ascii="times" w:eastAsia="times" w:hAnsi="times" w:cs="times"/>
          <w:b w:val="0"/>
          <w:i w:val="0"/>
          <w:strike w:val="0"/>
          <w:noProof w:val="0"/>
          <w:color w:val="000000"/>
          <w:position w:val="0"/>
          <w:sz w:val="24"/>
          <w:u w:val="none"/>
          <w:vertAlign w:val="baseline"/>
        </w:rPr>
        <w:t>A copy of the notice sent to consumers under KRS 365.732, if applicable; and</w:t>
      </w:r>
    </w:p>
    <w:p>
      <w:pPr>
        <w:keepNext w:val="0"/>
        <w:spacing w:before="120" w:after="0" w:line="300" w:lineRule="atLeast"/>
        <w:ind w:left="1440" w:right="0"/>
        <w:jc w:val="left"/>
      </w:pPr>
      <w:r>
        <w:rPr>
          <w:b/>
        </w:rPr>
        <w:t xml:space="preserve">14.  </w:t>
      </w:r>
      <w:bookmarkStart w:id="28" w:name="Bookmark__2_a_14"/>
      <w:bookmarkEnd w:id="28"/>
      <w:r>
        <w:rPr>
          <w:rFonts w:ascii="times" w:eastAsia="times" w:hAnsi="times" w:cs="times"/>
          <w:b w:val="0"/>
          <w:i w:val="0"/>
          <w:strike w:val="0"/>
          <w:noProof w:val="0"/>
          <w:color w:val="000000"/>
          <w:position w:val="0"/>
          <w:sz w:val="24"/>
          <w:u w:val="none"/>
          <w:vertAlign w:val="baseline"/>
        </w:rPr>
        <w:t xml:space="preserve">The name of a contact person who is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1080" w:right="0"/>
        <w:jc w:val="left"/>
      </w:pPr>
      <w:r>
        <w:rPr>
          <w:b/>
        </w:rPr>
        <w:t xml:space="preserve">(b)  </w:t>
      </w:r>
      <w:bookmarkStart w:id="29" w:name="Bookmark__2_b"/>
      <w:bookmarkEnd w:id="29"/>
      <w:r>
        <w:rPr>
          <w:rFonts w:ascii="times" w:eastAsia="times" w:hAnsi="times" w:cs="times"/>
          <w:b w:val="0"/>
          <w:i w:val="0"/>
          <w:strike w:val="0"/>
          <w:noProof w:val="0"/>
          <w:color w:val="000000"/>
          <w:position w:val="0"/>
          <w:sz w:val="24"/>
          <w:u w:val="none"/>
          <w:vertAlign w:val="baseline"/>
        </w:rPr>
        <w:t xml:space="preserve">The licensee shall have a continuing obligation under subsection (1) of this section to update and supplement initial and subsequent notifications to the commissioner concerning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(3)  </w:t>
      </w:r>
      <w:bookmarkStart w:id="30" w:name="Bookmark__3"/>
      <w:bookmarkEnd w:id="30"/>
      <w:r>
        <w:rPr>
          <w:rFonts w:ascii="times" w:eastAsia="times" w:hAnsi="times" w:cs="times"/>
          <w:b w:val="0"/>
          <w:i w:val="0"/>
          <w:strike w:val="0"/>
          <w:noProof w:val="0"/>
          <w:color w:val="000000"/>
          <w:position w:val="0"/>
          <w:sz w:val="24"/>
          <w:u w:val="none"/>
          <w:vertAlign w:val="baseline"/>
        </w:rPr>
        <w:t>Each licensee shall comply with KRS 365.732, as applicable.</w:t>
      </w:r>
    </w:p>
    <w:p>
      <w:pPr>
        <w:keepNext w:val="0"/>
        <w:spacing w:before="120" w:after="0" w:line="300" w:lineRule="atLeast"/>
        <w:ind w:left="720" w:right="0"/>
        <w:jc w:val="left"/>
      </w:pPr>
      <w:r>
        <w:rPr>
          <w:b/>
        </w:rPr>
        <w:t xml:space="preserve">(4)  </w:t>
      </w:r>
      <w:bookmarkStart w:id="31" w:name="Bookmark__4"/>
      <w:bookmarkEnd w:id="3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w:t>
      </w:r>
    </w:p>
    <w:p>
      <w:pPr>
        <w:keepNext w:val="0"/>
        <w:spacing w:before="120" w:after="0" w:line="300" w:lineRule="atLeast"/>
        <w:ind w:left="1080" w:right="0"/>
        <w:jc w:val="left"/>
      </w:pPr>
      <w:r>
        <w:rPr>
          <w:b/>
        </w:rPr>
        <w:t xml:space="preserve">(a)  </w:t>
      </w:r>
      <w:bookmarkStart w:id="32" w:name="Bookmark__4_a"/>
      <w:bookmarkEnd w:id="32"/>
      <w:r>
        <w:rPr>
          <w:rFonts w:ascii="times" w:eastAsia="times" w:hAnsi="times" w:cs="times"/>
          <w:b w:val="0"/>
          <w:i w:val="0"/>
          <w:strike w:val="0"/>
          <w:noProof w:val="0"/>
          <w:color w:val="000000"/>
          <w:position w:val="0"/>
          <w:sz w:val="24"/>
          <w:u w:val="none"/>
          <w:vertAlign w:val="baseline"/>
        </w:rPr>
        <w:t xml:space="preserve">Except as provided under subsection (5) of this section, the licensee shall treat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as it would under subsection (1) of this section; and</w:t>
      </w:r>
    </w:p>
    <w:p>
      <w:pPr>
        <w:keepNext w:val="0"/>
        <w:spacing w:before="120" w:after="0" w:line="300" w:lineRule="atLeast"/>
        <w:ind w:left="1080" w:right="0"/>
        <w:jc w:val="left"/>
      </w:pPr>
      <w:r>
        <w:rPr>
          <w:b/>
        </w:rPr>
        <w:t xml:space="preserve">(b)  </w:t>
      </w:r>
      <w:bookmarkStart w:id="33" w:name="Bookmark__4_b"/>
      <w:bookmarkEnd w:id="33"/>
      <w:r>
        <w:rPr>
          <w:rFonts w:ascii="times" w:eastAsia="times" w:hAnsi="times" w:cs="times"/>
          <w:b w:val="0"/>
          <w:i w:val="0"/>
          <w:strike w:val="0"/>
          <w:noProof w:val="0"/>
          <w:color w:val="000000"/>
          <w:position w:val="0"/>
          <w:sz w:val="24"/>
          <w:u w:val="none"/>
          <w:vertAlign w:val="baseline"/>
        </w:rPr>
        <w:t>The computation of the licensee’s deadlines under this subsection shall begin on the earlier of the day after:</w:t>
      </w:r>
    </w:p>
    <w:p>
      <w:pPr>
        <w:keepNext w:val="0"/>
        <w:spacing w:before="120" w:after="0" w:line="300" w:lineRule="atLeast"/>
        <w:ind w:left="1440" w:right="0"/>
        <w:jc w:val="left"/>
      </w:pPr>
      <w:r>
        <w:rPr>
          <w:b/>
        </w:rPr>
        <w:t xml:space="preserve">1.  </w:t>
      </w:r>
      <w:bookmarkStart w:id="34" w:name="Bookmark__4_b_1"/>
      <w:bookmarkEnd w:id="34"/>
      <w:r>
        <w:rPr>
          <w:rFonts w:ascii="times" w:eastAsia="times" w:hAnsi="times" w:cs="times"/>
          <w:b w:val="0"/>
          <w:i w:val="0"/>
          <w:strike w:val="0"/>
          <w:noProof w:val="0"/>
          <w:color w:val="000000"/>
          <w:position w:val="0"/>
          <w:sz w:val="24"/>
          <w:u w:val="none"/>
          <w:vertAlign w:val="baseline"/>
        </w:rPr>
        <w:t xml:space="preserve">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w:t>
      </w:r>
    </w:p>
    <w:p>
      <w:pPr>
        <w:keepNext w:val="0"/>
        <w:spacing w:before="120" w:after="0" w:line="300" w:lineRule="atLeast"/>
        <w:ind w:left="1440" w:right="0"/>
        <w:jc w:val="left"/>
      </w:pPr>
      <w:r>
        <w:rPr>
          <w:b/>
        </w:rPr>
        <w:t xml:space="preserve">2.  </w:t>
      </w:r>
      <w:bookmarkStart w:id="35" w:name="Bookmark__4_b_2"/>
      <w:bookmarkEnd w:id="35"/>
      <w:r>
        <w:rPr>
          <w:rFonts w:ascii="times" w:eastAsia="times" w:hAnsi="times" w:cs="times"/>
          <w:b w:val="0"/>
          <w:i w:val="0"/>
          <w:strike w:val="0"/>
          <w:noProof w:val="0"/>
          <w:color w:val="000000"/>
          <w:position w:val="0"/>
          <w:sz w:val="24"/>
          <w:u w:val="none"/>
          <w:vertAlign w:val="baseline"/>
        </w:rPr>
        <w:t xml:space="preserve">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(5)  </w:t>
      </w:r>
      <w:bookmarkStart w:id="36" w:name="Bookmark__5"/>
      <w:bookmarkEnd w:id="36"/>
      <w:r>
        <w:rPr>
          <w:rFonts w:ascii="times" w:eastAsia="times" w:hAnsi="times" w:cs="times"/>
          <w:b w:val="0"/>
          <w:i w:val="0"/>
          <w:strike w:val="0"/>
          <w:noProof w:val="0"/>
          <w:color w:val="000000"/>
          <w:position w:val="0"/>
          <w:sz w:val="24"/>
          <w:u w:val="none"/>
          <w:vertAlign w:val="baseline"/>
        </w:rPr>
        <w:t>Nothing in KRS 304.3-750 to 304.3-768 shall prevent or abrogate an agreement between a licensee and another licensee, a third-party service provider, or any other party to fulfill the obligations of or obligations similar to:</w:t>
      </w:r>
    </w:p>
    <w:p>
      <w:pPr>
        <w:keepNext w:val="0"/>
        <w:spacing w:before="120" w:after="0" w:line="300" w:lineRule="atLeast"/>
        <w:ind w:left="1080" w:right="0"/>
        <w:jc w:val="left"/>
      </w:pPr>
      <w:r>
        <w:rPr>
          <w:b/>
        </w:rPr>
        <w:t xml:space="preserve">(a)  </w:t>
      </w:r>
      <w:bookmarkStart w:id="37" w:name="Bookmark__5_a"/>
      <w:bookmarkEnd w:id="37"/>
      <w:r>
        <w:rPr>
          <w:rFonts w:ascii="times" w:eastAsia="times" w:hAnsi="times" w:cs="times"/>
          <w:b w:val="0"/>
          <w:i w:val="0"/>
          <w:strike w:val="0"/>
          <w:noProof w:val="0"/>
          <w:color w:val="000000"/>
          <w:position w:val="0"/>
          <w:sz w:val="24"/>
          <w:u w:val="none"/>
          <w:vertAlign w:val="baseline"/>
        </w:rPr>
        <w:t>Investigation requirements under KRS 304.3-758; or</w:t>
      </w:r>
    </w:p>
    <w:p>
      <w:pPr>
        <w:keepNext w:val="0"/>
        <w:spacing w:before="120" w:after="0" w:line="300" w:lineRule="atLeast"/>
        <w:ind w:left="1080" w:right="0"/>
        <w:jc w:val="left"/>
      </w:pPr>
      <w:r>
        <w:rPr>
          <w:b/>
        </w:rPr>
        <w:t xml:space="preserve">(b)  </w:t>
      </w:r>
      <w:bookmarkStart w:id="38" w:name="Bookmark__5_b"/>
      <w:bookmarkEnd w:id="38"/>
      <w:r>
        <w:rPr>
          <w:rFonts w:ascii="times" w:eastAsia="times" w:hAnsi="times" w:cs="times"/>
          <w:b w:val="0"/>
          <w:i w:val="0"/>
          <w:strike w:val="0"/>
          <w:noProof w:val="0"/>
          <w:color w:val="000000"/>
          <w:position w:val="0"/>
          <w:sz w:val="24"/>
          <w:u w:val="none"/>
          <w:vertAlign w:val="baseline"/>
        </w:rPr>
        <w:t>Notice requirements under this section.</w:t>
      </w:r>
    </w:p>
    <w:p>
      <w:pPr>
        <w:spacing w:before="120" w:line="240" w:lineRule="atLeast"/>
        <w:ind w:left="720"/>
      </w:pPr>
      <w:r>
        <w:rPr>
          <w:b/>
        </w:rPr>
        <w:t xml:space="preserve">(6)  </w:t>
      </w:r>
      <w:bookmarkStart w:id="39" w:name="Bookmark__6"/>
      <w:bookmarkEnd w:id="39"/>
    </w:p>
    <w:p>
      <w:pPr>
        <w:keepNext w:val="0"/>
        <w:spacing w:before="120" w:after="0" w:line="300" w:lineRule="atLeast"/>
        <w:ind w:left="1080" w:right="0"/>
        <w:jc w:val="left"/>
      </w:pPr>
      <w:r>
        <w:rPr>
          <w:b/>
        </w:rPr>
        <w:t xml:space="preserve">(a)  </w:t>
      </w:r>
      <w:bookmarkStart w:id="40" w:name="Bookmark__6_a"/>
      <w:bookmarkEnd w:id="40"/>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a licensee acting as an assuming insurer, or that is in the possession, custody, or control of a licensee that is acting as an assuming insurer, and the assuming insurer does not have a direct contractual relationship with the affected consumers, the assuming insurer shall notify its affected ceding insurers and the commissioner of its state of domicile within three (3)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080" w:right="0"/>
        <w:jc w:val="left"/>
      </w:pPr>
      <w:r>
        <w:rPr>
          <w:b/>
        </w:rPr>
        <w:t xml:space="preserve">(b)  </w:t>
      </w:r>
      <w:bookmarkStart w:id="41" w:name="Bookmark__6_b"/>
      <w:bookmarkEnd w:id="4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its affected ceding insurers and the commissioner of its state of domicile within three (3)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080" w:right="0"/>
        <w:jc w:val="left"/>
      </w:pPr>
      <w:r>
        <w:rPr>
          <w:b/>
        </w:rPr>
        <w:t xml:space="preserve">(c)  </w:t>
      </w:r>
      <w:bookmarkStart w:id="42" w:name="Bookmark__6_c"/>
      <w:bookmarkEnd w:id="42"/>
      <w:r>
        <w:rPr>
          <w:rFonts w:ascii="times" w:eastAsia="times" w:hAnsi="times" w:cs="times"/>
          <w:b w:val="0"/>
          <w:i w:val="0"/>
          <w:strike w:val="0"/>
          <w:noProof w:val="0"/>
          <w:color w:val="000000"/>
          <w:position w:val="0"/>
          <w:sz w:val="24"/>
          <w:u w:val="none"/>
          <w:vertAlign w:val="baseline"/>
        </w:rPr>
        <w:t>A ceding insurer under paragraph (a) or (b) of this subsection that has a direct contractual relationship with affected consumers shall fulfill:</w:t>
      </w:r>
    </w:p>
    <w:p>
      <w:pPr>
        <w:keepNext w:val="0"/>
        <w:spacing w:before="120" w:after="0" w:line="300" w:lineRule="atLeast"/>
        <w:ind w:left="1440" w:right="0"/>
        <w:jc w:val="left"/>
      </w:pPr>
      <w:r>
        <w:rPr>
          <w:b/>
        </w:rPr>
        <w:t xml:space="preserve">1.  </w:t>
      </w:r>
      <w:bookmarkStart w:id="43" w:name="Bookmark__6_c_1"/>
      <w:bookmarkEnd w:id="43"/>
      <w:r>
        <w:rPr>
          <w:rFonts w:ascii="times" w:eastAsia="times" w:hAnsi="times" w:cs="times"/>
          <w:b w:val="0"/>
          <w:i w:val="0"/>
          <w:strike w:val="0"/>
          <w:noProof w:val="0"/>
          <w:color w:val="000000"/>
          <w:position w:val="0"/>
          <w:sz w:val="24"/>
          <w:u w:val="none"/>
          <w:vertAlign w:val="baseline"/>
        </w:rPr>
        <w:t>The consumer notification requirements imposed under KRS 365.732; and</w:t>
      </w:r>
    </w:p>
    <w:p>
      <w:pPr>
        <w:keepNext w:val="0"/>
        <w:spacing w:before="120" w:after="0" w:line="300" w:lineRule="atLeast"/>
        <w:ind w:left="1440" w:right="0"/>
        <w:jc w:val="left"/>
      </w:pPr>
      <w:r>
        <w:rPr>
          <w:b/>
        </w:rPr>
        <w:t xml:space="preserve">2.  </w:t>
      </w:r>
      <w:bookmarkStart w:id="44" w:name="Bookmark__6_c_2"/>
      <w:bookmarkEnd w:id="44"/>
      <w:r>
        <w:rPr>
          <w:rFonts w:ascii="times" w:eastAsia="times" w:hAnsi="times" w:cs="times"/>
          <w:b w:val="0"/>
          <w:i w:val="0"/>
          <w:strike w:val="0"/>
          <w:noProof w:val="0"/>
          <w:color w:val="000000"/>
          <w:position w:val="0"/>
          <w:sz w:val="24"/>
          <w:u w:val="none"/>
          <w:vertAlign w:val="baseline"/>
        </w:rPr>
        <w:t xml:space="preserve">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under this section.</w:t>
      </w:r>
    </w:p>
    <w:p>
      <w:pPr>
        <w:keepNext w:val="0"/>
        <w:spacing w:before="120" w:after="0" w:line="300" w:lineRule="atLeast"/>
        <w:ind w:left="1080" w:right="0"/>
        <w:jc w:val="left"/>
      </w:pPr>
      <w:r>
        <w:rPr>
          <w:b/>
        </w:rPr>
        <w:t xml:space="preserve">(d)  </w:t>
      </w:r>
      <w:bookmarkStart w:id="45" w:name="Bookmark__6_d"/>
      <w:bookmarkEnd w:id="45"/>
      <w:r>
        <w:rPr>
          <w:rFonts w:ascii="times" w:eastAsia="times" w:hAnsi="times" w:cs="times"/>
          <w:b w:val="0"/>
          <w:i w:val="0"/>
          <w:strike w:val="0"/>
          <w:noProof w:val="0"/>
          <w:color w:val="000000"/>
          <w:position w:val="0"/>
          <w:sz w:val="24"/>
          <w:u w:val="none"/>
          <w:vertAlign w:val="baseline"/>
        </w:rPr>
        <w:t xml:space="preserve">Except as provided in paragraph (a) or (b) of this subsection, a licensee acting as an assuming insurer shall not be subject to any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this section.</w:t>
      </w:r>
    </w:p>
    <w:p>
      <w:pPr>
        <w:spacing w:before="120" w:line="240" w:lineRule="atLeast"/>
        <w:ind w:left="720"/>
      </w:pPr>
      <w:r>
        <w:rPr>
          <w:b/>
        </w:rPr>
        <w:t xml:space="preserve">(7)  </w:t>
      </w:r>
      <w:bookmarkStart w:id="46" w:name="Bookmark__7"/>
      <w:bookmarkEnd w:id="46"/>
    </w:p>
    <w:p>
      <w:pPr>
        <w:keepNext w:val="0"/>
        <w:spacing w:before="120" w:after="0" w:line="300" w:lineRule="atLeast"/>
        <w:ind w:left="1080" w:right="0"/>
        <w:jc w:val="left"/>
      </w:pPr>
      <w:r>
        <w:rPr>
          <w:b/>
        </w:rPr>
        <w:t xml:space="preserve">(a)  </w:t>
      </w:r>
      <w:bookmarkStart w:id="47" w:name="Bookmark__7_a"/>
      <w:bookmarkEnd w:id="47"/>
      <w:r>
        <w:rPr>
          <w:rFonts w:ascii="times" w:eastAsia="times" w:hAnsi="times" w:cs="times"/>
          <w:b w:val="0"/>
          <w:i w:val="0"/>
          <w:strike w:val="0"/>
          <w:noProof w:val="0"/>
          <w:color w:val="000000"/>
          <w:position w:val="0"/>
          <w:sz w:val="24"/>
          <w:u w:val="none"/>
          <w:vertAlign w:val="baseline"/>
        </w:rPr>
        <w:t xml:space="preserve">Except as provided in paragraph (b) of this subsection, 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and for which a consumer accessed the insurer’s services through an independent insurance producer, the insurer shall notify the producers of record at the same time as all affected consumers when a licensee is required to notify consumers under KRS 365.732.</w:t>
      </w:r>
    </w:p>
    <w:p>
      <w:pPr>
        <w:keepNext w:val="0"/>
        <w:spacing w:before="120" w:after="0" w:line="300" w:lineRule="atLeast"/>
        <w:ind w:left="1080" w:right="0"/>
        <w:jc w:val="left"/>
      </w:pPr>
      <w:r>
        <w:rPr>
          <w:b/>
        </w:rPr>
        <w:t xml:space="preserve">(b)  </w:t>
      </w:r>
      <w:bookmarkStart w:id="48" w:name="Bookmark__7_b"/>
      <w:bookmarkEnd w:id="48"/>
      <w:r>
        <w:rPr>
          <w:rFonts w:ascii="times" w:eastAsia="times" w:hAnsi="times" w:cs="times"/>
          <w:b w:val="0"/>
          <w:i w:val="0"/>
          <w:strike w:val="0"/>
          <w:noProof w:val="0"/>
          <w:color w:val="000000"/>
          <w:position w:val="0"/>
          <w:sz w:val="24"/>
          <w:u w:val="none"/>
          <w:vertAlign w:val="baseline"/>
        </w:rPr>
        <w:t>An insurer shall not be required to comply with paragraph (a) of this subsection when the insurer does not have the current producer of record information for any individual consumer.</w:t>
      </w:r>
    </w:p>
    <w:p>
      <w:pPr>
        <w:keepNext/>
        <w:spacing w:before="240" w:after="0" w:line="340" w:lineRule="atLeast"/>
        <w:ind w:left="0" w:right="0" w:firstLine="0"/>
        <w:jc w:val="left"/>
      </w:pPr>
      <w:bookmarkStart w:id="49" w:name="History"/>
      <w:bookmarkEnd w:id="4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149, § 6, effective January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304.3-760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304.3-760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6614-4VB3-CGX8-017B-00000-00">
    <vt:lpwstr>Doc::/shared/document|contextualFeaturePermID::1516831</vt:lpwstr>
  </property>
  <property fmtid="{D5CDD505-2E9C-101B-9397-08002B2CF9AE}" pid="5" name="UserPermID">
    <vt:lpwstr>urn:user:PA186163333</vt:lpwstr>
  </property>
</Properties>
</file>