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51:2112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1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Trade and commerce (Chs. 1 — 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31-A. Managed Service Providers and Managed Security Service Providers for Public Bodies (§§ 51:2111 — 51:2116)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51:2112.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As used in this Chapter, the following words and phrases shall be defined as follows: </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“Cyber incident” means the compromise of the security, confidentiality, or integrity of computerized data due to the exfiltration, modification, or deletion that results in the unauthorized acquisition of and access to information maintained by a public body. </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“Cyber ransom or ransomware” means a type of malware that encrypts or locks valuable digital files and demands a ransom to release the files. </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 xml:space="preserve">“Louisiana Fusion Center” means the Department of Public Safety and Corrections, office of state police, Louisiana State Analytical and Fusion Exchange. </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 xml:space="preserve">“Managed security service” means a network and system security service that has been outsourced to a third-party service provider pursuant to a written agreement specifying the service and in which the service provider has assumed operational control of the monitoring and management of the public body’s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The term shall not include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consulting service or customer-managed service purchased from the provider. </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 xml:space="preserve">“Managed security service provider” means an individual, partnership, corporation, incorporated or unincorporated association, joint stock company, reciprocal, syndicated, or any similar entity or combination of entities that provides a managed security service for a public body. </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 xml:space="preserve">“Managed service provider” means an individual, partnership, corporation, incorporated or unincorporated association, joint stock company, reciprocal, syndicated, or any similar entity or combination of entities that manages a public body’s information technology infrastructure or end-user systems. The term shall not include any entity providing communications services subject to regulation or oversight by the Louisiana Public Service Commission or the Federal Communications Commission. </w:t>
      </w:r>
    </w:p>
    <w:p>
      <w:pPr>
        <w:keepNext w:val="0"/>
        <w:spacing w:before="120" w:after="0" w:line="300" w:lineRule="atLeast"/>
        <w:ind w:left="1080" w:right="0"/>
        <w:jc w:val="left"/>
      </w:pPr>
      <w:r>
        <w:rPr>
          <w:b/>
        </w:rPr>
        <w:t xml:space="preserve">(7)  </w:t>
      </w:r>
      <w:bookmarkStart w:id="7" w:name="Bookmark__7"/>
      <w:bookmarkEnd w:id="7"/>
      <w:r>
        <w:rPr>
          <w:rFonts w:ascii="times" w:eastAsia="times" w:hAnsi="times" w:cs="times"/>
          <w:b w:val="0"/>
          <w:i w:val="0"/>
          <w:strike w:val="0"/>
          <w:noProof w:val="0"/>
          <w:color w:val="000000"/>
          <w:position w:val="0"/>
          <w:sz w:val="24"/>
          <w:u w:val="none"/>
          <w:vertAlign w:val="baseline"/>
        </w:rPr>
        <w:t xml:space="preserve">“Provider” means a managed service provider or managed security service provider that requires remote management or operational control of a public body’s network or end user systems. </w:t>
      </w:r>
    </w:p>
    <w:p>
      <w:pPr>
        <w:keepNext w:val="0"/>
        <w:spacing w:before="120" w:after="0" w:line="300" w:lineRule="atLeast"/>
        <w:ind w:left="1080" w:right="0"/>
        <w:jc w:val="left"/>
      </w:pPr>
      <w:r>
        <w:rPr>
          <w:b/>
        </w:rPr>
        <w:t xml:space="preserve">(8)  </w:t>
      </w:r>
      <w:bookmarkStart w:id="8" w:name="Bookmark__8"/>
      <w:bookmarkEnd w:id="8"/>
      <w:r>
        <w:rPr>
          <w:rFonts w:ascii="times" w:eastAsia="times" w:hAnsi="times" w:cs="times"/>
          <w:b w:val="0"/>
          <w:i w:val="0"/>
          <w:strike w:val="0"/>
          <w:noProof w:val="0"/>
          <w:color w:val="000000"/>
          <w:position w:val="0"/>
          <w:sz w:val="24"/>
          <w:u w:val="none"/>
          <w:vertAlign w:val="baseline"/>
        </w:rPr>
        <w:t xml:space="preserve">“Public body” means any branch, department, office, agency, board, commission, district, governing authority, political subdivision, or any other instrumentality of the state, parish, or municipal government, including a public or quasi-public nonprofit corporation designated as an entity to perform a governmental or proprietary function. </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2020, No. 117, § 2, effective February 1,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51:2112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51:2112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6040-PBW3-GXJ9-30VS-00000-00">
    <vt:lpwstr>Doc::/shared/document|contextualFeaturePermID::1516831</vt:lpwstr>
  </property>
  <property fmtid="{D5CDD505-2E9C-101B-9397-08002B2CF9AE}" pid="5" name="UserPermID">
    <vt:lpwstr>urn:user:PA186163333</vt:lpwstr>
  </property>
</Properties>
</file>