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22:2504.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licensee shall develop, implement, and maintain a comprehensive, written information security program which satisfies all of the following criteria:</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Is based on the licensee’s risk assessment.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Contains administrative, technical, and physical safeguards for the protection of nonpublic information and the licensee’s information system.</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Is commensurate with all of the following:</w:t>
      </w:r>
    </w:p>
    <w:p>
      <w:pPr>
        <w:keepNext w:val="0"/>
        <w:spacing w:before="120" w:after="0" w:line="300" w:lineRule="atLeast"/>
        <w:ind w:left="1440" w:right="0"/>
        <w:jc w:val="left"/>
      </w:pPr>
      <w:r>
        <w:rPr>
          <w:b/>
        </w:rPr>
        <w:t xml:space="preserve">(a)  </w:t>
      </w:r>
      <w:bookmarkStart w:id="5" w:name="Bookmark__a_3_a"/>
      <w:bookmarkEnd w:id="5"/>
      <w:r>
        <w:rPr>
          <w:rFonts w:ascii="times" w:eastAsia="times" w:hAnsi="times" w:cs="times"/>
          <w:b w:val="0"/>
          <w:i w:val="0"/>
          <w:strike w:val="0"/>
          <w:noProof w:val="0"/>
          <w:color w:val="000000"/>
          <w:position w:val="0"/>
          <w:sz w:val="24"/>
          <w:u w:val="none"/>
          <w:vertAlign w:val="baseline"/>
        </w:rPr>
        <w:t>Size and complexity of the licensee.</w:t>
      </w:r>
    </w:p>
    <w:p>
      <w:pPr>
        <w:keepNext w:val="0"/>
        <w:spacing w:before="120" w:after="0" w:line="300" w:lineRule="atLeast"/>
        <w:ind w:left="1440" w:right="0"/>
        <w:jc w:val="left"/>
      </w:pPr>
      <w:r>
        <w:rPr>
          <w:b/>
        </w:rPr>
        <w:t xml:space="preserve">(b)  </w:t>
      </w:r>
      <w:bookmarkStart w:id="6" w:name="Bookmark__a_3_b"/>
      <w:bookmarkEnd w:id="6"/>
      <w:r>
        <w:rPr>
          <w:rFonts w:ascii="times" w:eastAsia="times" w:hAnsi="times" w:cs="times"/>
          <w:b w:val="0"/>
          <w:i w:val="0"/>
          <w:strike w:val="0"/>
          <w:noProof w:val="0"/>
          <w:color w:val="000000"/>
          <w:position w:val="0"/>
          <w:sz w:val="24"/>
          <w:u w:val="none"/>
          <w:vertAlign w:val="baseline"/>
        </w:rPr>
        <w:t>Nature and scope of the licensee’s activities including its use of third-party service providers.</w:t>
      </w:r>
    </w:p>
    <w:p>
      <w:pPr>
        <w:keepNext w:val="0"/>
        <w:spacing w:before="120" w:after="0" w:line="300" w:lineRule="atLeast"/>
        <w:ind w:left="1440" w:right="0"/>
        <w:jc w:val="left"/>
      </w:pPr>
      <w:r>
        <w:rPr>
          <w:b/>
        </w:rPr>
        <w:t xml:space="preserve">(c)  </w:t>
      </w:r>
      <w:bookmarkStart w:id="7" w:name="Bookmark__a_3_c"/>
      <w:bookmarkEnd w:id="7"/>
      <w:r>
        <w:rPr>
          <w:rFonts w:ascii="times" w:eastAsia="times" w:hAnsi="times" w:cs="times"/>
          <w:b w:val="0"/>
          <w:i w:val="0"/>
          <w:strike w:val="0"/>
          <w:noProof w:val="0"/>
          <w:color w:val="000000"/>
          <w:position w:val="0"/>
          <w:sz w:val="24"/>
          <w:u w:val="none"/>
          <w:vertAlign w:val="baseline"/>
        </w:rPr>
        <w:t>Sensitivity of the nonpublic information used by the licensee or in the licensee’s possession, custody, or control.</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A licensee’s information security program shall be designed to do all of the following:</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C.  </w:t>
      </w:r>
      <w:bookmarkStart w:id="13" w:name="Bookmark__c"/>
      <w:bookmarkEnd w:id="13"/>
      <w:r>
        <w:rPr>
          <w:rFonts w:ascii="times" w:eastAsia="times" w:hAnsi="times" w:cs="times"/>
          <w:b w:val="0"/>
          <w:i w:val="0"/>
          <w:strike w:val="0"/>
          <w:noProof w:val="0"/>
          <w:color w:val="000000"/>
          <w:position w:val="0"/>
          <w:sz w:val="24"/>
          <w:u w:val="none"/>
          <w:vertAlign w:val="baseline"/>
        </w:rPr>
        <w:t>A licensee shall conduct a risk assessment by doing all of the following:</w:t>
      </w:r>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Designate one or more employees, an affiliate, or an outside vendor to act on behalf of the licensee and to be responsible for the information security program.</w:t>
      </w:r>
    </w:p>
    <w:p>
      <w:pPr>
        <w:keepNext w:val="0"/>
        <w:spacing w:before="120" w:after="0" w:line="300" w:lineRule="atLeast"/>
        <w:ind w:left="1080" w:right="0"/>
        <w:jc w:val="left"/>
      </w:pPr>
      <w:r>
        <w:rPr>
          <w:b/>
        </w:rPr>
        <w:t xml:space="preserve">(2)  </w:t>
      </w:r>
      <w:bookmarkStart w:id="15" w:name="Bookmark__c_2"/>
      <w:bookmarkEnd w:id="15"/>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6" w:name="Bookmark__c_3"/>
      <w:bookmarkEnd w:id="16"/>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080" w:right="0"/>
        <w:jc w:val="left"/>
      </w:pPr>
      <w:r>
        <w:rPr>
          <w:b/>
        </w:rPr>
        <w:t xml:space="preserve">(4)  </w:t>
      </w:r>
      <w:bookmarkStart w:id="17" w:name="Bookmark__c_4"/>
      <w:bookmarkEnd w:id="17"/>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 all of the following:</w:t>
      </w:r>
    </w:p>
    <w:p>
      <w:pPr>
        <w:keepNext w:val="0"/>
        <w:spacing w:before="120" w:after="0" w:line="300" w:lineRule="atLeast"/>
        <w:ind w:left="1440" w:right="0"/>
        <w:jc w:val="left"/>
      </w:pPr>
      <w:r>
        <w:rPr>
          <w:b/>
        </w:rPr>
        <w:t xml:space="preserve">(a)  </w:t>
      </w:r>
      <w:bookmarkStart w:id="18" w:name="Bookmark__c_4_a"/>
      <w:bookmarkEnd w:id="18"/>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19" w:name="Bookmark__c_4_b"/>
      <w:bookmarkEnd w:id="19"/>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w:t>
      </w:r>
    </w:p>
    <w:p>
      <w:pPr>
        <w:keepNext w:val="0"/>
        <w:spacing w:before="120" w:after="0" w:line="300" w:lineRule="atLeast"/>
        <w:ind w:left="1440" w:right="0"/>
        <w:jc w:val="left"/>
      </w:pPr>
      <w:r>
        <w:rPr>
          <w:b/>
        </w:rPr>
        <w:t xml:space="preserve">(c)  </w:t>
      </w:r>
      <w:bookmarkStart w:id="20" w:name="Bookmark__c_4_c"/>
      <w:bookmarkEnd w:id="20"/>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w:t>
      </w:r>
    </w:p>
    <w:p>
      <w:pPr>
        <w:keepNext w:val="0"/>
        <w:spacing w:before="120" w:after="0" w:line="300" w:lineRule="atLeast"/>
        <w:ind w:left="1080" w:right="0"/>
        <w:jc w:val="left"/>
      </w:pPr>
      <w:r>
        <w:rPr>
          <w:b/>
        </w:rPr>
        <w:t xml:space="preserve">(5)  </w:t>
      </w:r>
      <w:bookmarkStart w:id="21" w:name="Bookmark__c_5"/>
      <w:bookmarkEnd w:id="21"/>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D.  </w:t>
      </w:r>
      <w:bookmarkStart w:id="22" w:name="Bookmark__d"/>
      <w:bookmarkEnd w:id="22"/>
      <w:r>
        <w:rPr>
          <w:rFonts w:ascii="times" w:eastAsia="times" w:hAnsi="times" w:cs="times"/>
          <w:b w:val="0"/>
          <w:i w:val="0"/>
          <w:strike w:val="0"/>
          <w:noProof w:val="0"/>
          <w:color w:val="000000"/>
          <w:position w:val="0"/>
          <w:sz w:val="24"/>
          <w:u w:val="none"/>
          <w:vertAlign w:val="baseline"/>
        </w:rPr>
        <w:t>Based on the licensee’s risk assessment, a licensee shall do all of the following:</w:t>
      </w:r>
    </w:p>
    <w:p>
      <w:pPr>
        <w:keepNext w:val="0"/>
        <w:spacing w:before="120" w:after="0" w:line="300" w:lineRule="atLeast"/>
        <w:ind w:left="1080" w:right="0"/>
        <w:jc w:val="left"/>
      </w:pPr>
      <w:r>
        <w:rPr>
          <w:b/>
        </w:rPr>
        <w:t xml:space="preserve">(1)  </w:t>
      </w:r>
      <w:bookmarkStart w:id="23" w:name="Bookmark__d_1"/>
      <w:bookmarkEnd w:id="23"/>
      <w:r>
        <w:rPr>
          <w:rFonts w:ascii="times" w:eastAsia="times" w:hAnsi="times" w:cs="times"/>
          <w:b w:val="0"/>
          <w:i w:val="0"/>
          <w:strike w:val="0"/>
          <w:noProof w:val="0"/>
          <w:color w:val="000000"/>
          <w:position w:val="0"/>
          <w:sz w:val="24"/>
          <w:u w:val="none"/>
          <w:vertAlign w:val="baseline"/>
        </w:rPr>
        <w:t>Design an information security program to mitigate the identified risks, commensurate with the size and complexity of the licensee, the nature and scope of the licensee’s activities, including the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24" w:name="Bookmark__d_2"/>
      <w:bookmarkEnd w:id="24"/>
      <w:r>
        <w:rPr>
          <w:rFonts w:ascii="times" w:eastAsia="times" w:hAnsi="times" w:cs="times"/>
          <w:b w:val="0"/>
          <w:i w:val="0"/>
          <w:strike w:val="0"/>
          <w:noProof w:val="0"/>
          <w:color w:val="000000"/>
          <w:position w:val="0"/>
          <w:sz w:val="24"/>
          <w:u w:val="none"/>
          <w:vertAlign w:val="baseline"/>
        </w:rPr>
        <w:t>Implement all of the following security measures that the licensee determines are appropriate:</w:t>
      </w:r>
    </w:p>
    <w:p>
      <w:pPr>
        <w:keepNext w:val="0"/>
        <w:spacing w:before="120" w:after="0" w:line="300" w:lineRule="atLeast"/>
        <w:ind w:left="1440" w:right="0"/>
        <w:jc w:val="left"/>
      </w:pPr>
      <w:r>
        <w:rPr>
          <w:b/>
        </w:rPr>
        <w:t xml:space="preserve">(a)  </w:t>
      </w:r>
      <w:bookmarkStart w:id="25" w:name="Bookmark__d_2_a"/>
      <w:bookmarkEnd w:id="25"/>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(b)  </w:t>
      </w:r>
      <w:bookmarkStart w:id="26" w:name="Bookmark__d_2_b"/>
      <w:bookmarkEnd w:id="26"/>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(c)  </w:t>
      </w:r>
      <w:bookmarkStart w:id="27" w:name="Bookmark__d_2_c"/>
      <w:bookmarkEnd w:id="27"/>
      <w:r>
        <w:rPr>
          <w:rFonts w:ascii="times" w:eastAsia="times" w:hAnsi="times" w:cs="times"/>
          <w:b w:val="0"/>
          <w:i w:val="0"/>
          <w:strike w:val="0"/>
          <w:noProof w:val="0"/>
          <w:color w:val="000000"/>
          <w:position w:val="0"/>
          <w:sz w:val="24"/>
          <w:u w:val="none"/>
          <w:vertAlign w:val="baseline"/>
        </w:rPr>
        <w:t>Restrict physical access to nonpublic information to authorized individuals.</w:t>
      </w:r>
    </w:p>
    <w:p>
      <w:pPr>
        <w:keepNext w:val="0"/>
        <w:spacing w:before="120" w:after="0" w:line="300" w:lineRule="atLeast"/>
        <w:ind w:left="1440" w:right="0"/>
        <w:jc w:val="left"/>
      </w:pPr>
      <w:r>
        <w:rPr>
          <w:b/>
        </w:rPr>
        <w:t xml:space="preserve">(d)  </w:t>
      </w:r>
      <w:bookmarkStart w:id="28" w:name="Bookmark__d_2_d"/>
      <w:bookmarkEnd w:id="28"/>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29" w:name="Bookmark__d_2_e"/>
      <w:bookmarkEnd w:id="29"/>
      <w:r>
        <w:rPr>
          <w:rFonts w:ascii="times" w:eastAsia="times" w:hAnsi="times" w:cs="times"/>
          <w:b w:val="0"/>
          <w:i w:val="0"/>
          <w:strike w:val="0"/>
          <w:noProof w:val="0"/>
          <w:color w:val="000000"/>
          <w:position w:val="0"/>
          <w:sz w:val="24"/>
          <w:u w:val="none"/>
          <w:vertAlign w:val="baseline"/>
        </w:rPr>
        <w:t>Adopt secure development practices for in-house developed applications used by the licensee and procedures for evaluating, assessing, or testing the security of externally developed applications used by the licensee.</w:t>
      </w:r>
    </w:p>
    <w:p>
      <w:pPr>
        <w:keepNext w:val="0"/>
        <w:spacing w:before="120" w:after="0" w:line="300" w:lineRule="atLeast"/>
        <w:ind w:left="1440" w:right="0"/>
        <w:jc w:val="left"/>
      </w:pPr>
      <w:r>
        <w:rPr>
          <w:b/>
        </w:rPr>
        <w:t xml:space="preserve">(f)  </w:t>
      </w:r>
      <w:bookmarkStart w:id="30" w:name="Bookmark__d_2_f"/>
      <w:bookmarkEnd w:id="30"/>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(g)  </w:t>
      </w:r>
      <w:bookmarkStart w:id="31" w:name="Bookmark__d_2_g"/>
      <w:bookmarkEnd w:id="31"/>
      <w:r>
        <w:rPr>
          <w:rFonts w:ascii="times" w:eastAsia="times" w:hAnsi="times" w:cs="times"/>
          <w:b w:val="0"/>
          <w:i w:val="0"/>
          <w:strike w:val="0"/>
          <w:noProof w:val="0"/>
          <w:color w:val="000000"/>
          <w:position w:val="0"/>
          <w:sz w:val="24"/>
          <w:u w:val="none"/>
          <w:vertAlign w:val="baseline"/>
        </w:rPr>
        <w:t>Use effective controls, which may include multifactor authentication procedures for any individual accessing nonpublic information.</w:t>
      </w:r>
    </w:p>
    <w:p>
      <w:pPr>
        <w:keepNext w:val="0"/>
        <w:spacing w:before="120" w:after="0" w:line="300" w:lineRule="atLeast"/>
        <w:ind w:left="1440" w:right="0"/>
        <w:jc w:val="left"/>
      </w:pPr>
      <w:r>
        <w:rPr>
          <w:b/>
        </w:rPr>
        <w:t xml:space="preserve">(h)  </w:t>
      </w:r>
      <w:bookmarkStart w:id="32" w:name="Bookmark__d_2_h"/>
      <w:bookmarkEnd w:id="32"/>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  </w:t>
      </w:r>
      <w:bookmarkStart w:id="33" w:name="Bookmark__d_2_i"/>
      <w:bookmarkEnd w:id="33"/>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(j)  </w:t>
      </w:r>
      <w:bookmarkStart w:id="34" w:name="Bookmark__d_2_j"/>
      <w:bookmarkEnd w:id="34"/>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440" w:right="0"/>
        <w:jc w:val="left"/>
      </w:pPr>
      <w:r>
        <w:rPr>
          <w:b/>
        </w:rPr>
        <w:t xml:space="preserve">(k)  </w:t>
      </w:r>
      <w:bookmarkStart w:id="35" w:name="Bookmark__d_2_k"/>
      <w:bookmarkEnd w:id="35"/>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36" w:name="Bookmark__d_3"/>
      <w:bookmarkEnd w:id="36"/>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7" w:name="Bookmark__d_4"/>
      <w:bookmarkEnd w:id="37"/>
      <w:r>
        <w:rPr>
          <w:rFonts w:ascii="times" w:eastAsia="times" w:hAnsi="times" w:cs="times"/>
          <w:b w:val="0"/>
          <w:i w:val="0"/>
          <w:strike w:val="0"/>
          <w:noProof w:val="0"/>
          <w:color w:val="000000"/>
          <w:position w:val="0"/>
          <w:sz w:val="24"/>
          <w:u w:val="none"/>
          <w:vertAlign w:val="baseline"/>
        </w:rPr>
        <w:t>Stay informed regarding emerging threats or vulnerabilities.</w:t>
      </w:r>
    </w:p>
    <w:p>
      <w:pPr>
        <w:keepNext w:val="0"/>
        <w:spacing w:before="120" w:after="0" w:line="300" w:lineRule="atLeast"/>
        <w:ind w:left="1080" w:right="0"/>
        <w:jc w:val="left"/>
      </w:pPr>
      <w:r>
        <w:rPr>
          <w:b/>
        </w:rPr>
        <w:t xml:space="preserve">(5)  </w:t>
      </w:r>
      <w:bookmarkStart w:id="38" w:name="Bookmark__d_5"/>
      <w:bookmarkEnd w:id="38"/>
      <w:r>
        <w:rPr>
          <w:rFonts w:ascii="times" w:eastAsia="times" w:hAnsi="times" w:cs="times"/>
          <w:b w:val="0"/>
          <w:i w:val="0"/>
          <w:strike w:val="0"/>
          <w:noProof w:val="0"/>
          <w:color w:val="000000"/>
          <w:position w:val="0"/>
          <w:sz w:val="24"/>
          <w:u w:val="none"/>
          <w:vertAlign w:val="baseline"/>
        </w:rPr>
        <w:t>Use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(6)  </w:t>
      </w:r>
      <w:bookmarkStart w:id="39" w:name="Bookmark__d_6"/>
      <w:bookmarkEnd w:id="39"/>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reflects current risks identified by the licensee in the risk assessment.</w:t>
      </w:r>
    </w:p>
    <w:p>
      <w:pPr>
        <w:keepNext w:val="0"/>
        <w:spacing w:before="120" w:after="0" w:line="300" w:lineRule="atLeast"/>
        <w:ind w:left="720" w:right="0"/>
        <w:jc w:val="left"/>
      </w:pPr>
      <w:r>
        <w:rPr>
          <w:b/>
        </w:rPr>
        <w:t xml:space="preserve">E.  </w:t>
      </w:r>
      <w:bookmarkStart w:id="40" w:name="Bookmark__e"/>
      <w:bookmarkEnd w:id="40"/>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shall, at a minimum, require a licensee’s executive management or its delegates to do all of the following:</w:t>
      </w:r>
    </w:p>
    <w:p>
      <w:pPr>
        <w:keepNext w:val="0"/>
        <w:spacing w:before="120" w:after="0" w:line="300" w:lineRule="atLeast"/>
        <w:ind w:left="1080" w:right="0"/>
        <w:jc w:val="left"/>
      </w:pPr>
      <w:r>
        <w:rPr>
          <w:b/>
        </w:rPr>
        <w:t xml:space="preserve">(1)  </w:t>
      </w:r>
      <w:bookmarkStart w:id="41" w:name="Bookmark__e_1"/>
      <w:bookmarkEnd w:id="41"/>
      <w:r>
        <w:rPr>
          <w:rFonts w:ascii="times" w:eastAsia="times" w:hAnsi="times" w:cs="times"/>
          <w:b w:val="0"/>
          <w:i w:val="0"/>
          <w:strike w:val="0"/>
          <w:noProof w:val="0"/>
          <w:color w:val="000000"/>
          <w:position w:val="0"/>
          <w:sz w:val="24"/>
          <w:u w:val="none"/>
          <w:vertAlign w:val="baseline"/>
        </w:rPr>
        <w:t>Develop, implement, and maintain the licensee’s information security program.</w:t>
      </w:r>
    </w:p>
    <w:p>
      <w:pPr>
        <w:keepNext w:val="0"/>
        <w:spacing w:before="120" w:after="0" w:line="300" w:lineRule="atLeast"/>
        <w:ind w:left="1080" w:right="0"/>
        <w:jc w:val="left"/>
      </w:pPr>
      <w:r>
        <w:rPr>
          <w:b/>
        </w:rPr>
        <w:t xml:space="preserve">(2)  </w:t>
      </w:r>
      <w:bookmarkStart w:id="42" w:name="Bookmark__e_2"/>
      <w:bookmarkEnd w:id="42"/>
      <w:r>
        <w:rPr>
          <w:rFonts w:ascii="times" w:eastAsia="times" w:hAnsi="times" w:cs="times"/>
          <w:b w:val="0"/>
          <w:i w:val="0"/>
          <w:strike w:val="0"/>
          <w:noProof w:val="0"/>
          <w:color w:val="000000"/>
          <w:position w:val="0"/>
          <w:sz w:val="24"/>
          <w:u w:val="none"/>
          <w:vertAlign w:val="baseline"/>
        </w:rPr>
        <w:t>Report in writing, at least annually, all of the following information:</w:t>
      </w:r>
    </w:p>
    <w:p>
      <w:pPr>
        <w:keepNext w:val="0"/>
        <w:spacing w:before="120" w:after="0" w:line="300" w:lineRule="atLeast"/>
        <w:ind w:left="1440" w:right="0"/>
        <w:jc w:val="left"/>
      </w:pPr>
      <w:r>
        <w:rPr>
          <w:b/>
        </w:rPr>
        <w:t xml:space="preserve">(a)  </w:t>
      </w:r>
      <w:bookmarkStart w:id="43" w:name="Bookmark__e_2_a"/>
      <w:bookmarkEnd w:id="43"/>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w:t>
      </w:r>
    </w:p>
    <w:p>
      <w:pPr>
        <w:keepNext w:val="0"/>
        <w:spacing w:before="120" w:after="0" w:line="300" w:lineRule="atLeast"/>
        <w:ind w:left="1440" w:right="0"/>
        <w:jc w:val="left"/>
      </w:pPr>
      <w:r>
        <w:rPr>
          <w:b/>
        </w:rPr>
        <w:t xml:space="preserve">(b)  </w:t>
      </w:r>
      <w:bookmarkStart w:id="44" w:name="Bookmark__e_2_b"/>
      <w:bookmarkEnd w:id="44"/>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w:t>
      </w:r>
    </w:p>
    <w:p>
      <w:pPr>
        <w:keepNext w:val="0"/>
        <w:spacing w:before="120" w:after="0" w:line="300" w:lineRule="atLeast"/>
        <w:ind w:left="1080" w:right="0"/>
        <w:jc w:val="left"/>
      </w:pPr>
      <w:r>
        <w:rPr>
          <w:b/>
        </w:rPr>
        <w:t xml:space="preserve">(3)  </w:t>
      </w:r>
      <w:bookmarkStart w:id="45" w:name="Bookmark__e_3"/>
      <w:bookmarkEnd w:id="45"/>
      <w:r>
        <w:rPr>
          <w:rFonts w:ascii="times" w:eastAsia="times" w:hAnsi="times" w:cs="times"/>
          <w:b w:val="0"/>
          <w:i w:val="0"/>
          <w:strike w:val="0"/>
          <w:noProof w:val="0"/>
          <w:color w:val="000000"/>
          <w:position w:val="0"/>
          <w:sz w:val="24"/>
          <w:u w:val="none"/>
          <w:vertAlign w:val="baseline"/>
        </w:rPr>
        <w:t>If executive management delegates any of the responsibilities provided for in this Section, management shall oversee the development, implementation, and maintenance of the licensee’s information security program prepared by the delegates and shall receive a report from the delegates complying with the requirements of the report to the board of directors above.</w:t>
      </w:r>
    </w:p>
    <w:p>
      <w:pPr>
        <w:keepNext w:val="0"/>
        <w:spacing w:before="120" w:after="0" w:line="300" w:lineRule="atLeast"/>
        <w:ind w:left="720" w:right="0"/>
        <w:jc w:val="left"/>
      </w:pPr>
      <w:r>
        <w:rPr>
          <w:b/>
        </w:rPr>
        <w:t xml:space="preserve">F.  </w:t>
      </w:r>
      <w:bookmarkStart w:id="46" w:name="Bookmark__f"/>
      <w:bookmarkEnd w:id="46"/>
      <w:r>
        <w:rPr>
          <w:rFonts w:ascii="times" w:eastAsia="times" w:hAnsi="times" w:cs="times"/>
          <w:b w:val="0"/>
          <w:i w:val="0"/>
          <w:strike w:val="0"/>
          <w:noProof w:val="0"/>
          <w:color w:val="000000"/>
          <w:position w:val="0"/>
          <w:sz w:val="24"/>
          <w:u w:val="none"/>
          <w:vertAlign w:val="baseline"/>
        </w:rPr>
        <w:t>With regard to third-party service providers, a licensee shall do all of the following:</w:t>
      </w:r>
    </w:p>
    <w:p>
      <w:pPr>
        <w:keepNext w:val="0"/>
        <w:spacing w:before="120" w:after="0" w:line="300" w:lineRule="atLeast"/>
        <w:ind w:left="1080" w:right="0"/>
        <w:jc w:val="left"/>
      </w:pPr>
      <w:r>
        <w:rPr>
          <w:b/>
        </w:rPr>
        <w:t xml:space="preserve">(1)  </w:t>
      </w:r>
      <w:bookmarkStart w:id="47" w:name="Bookmark__f_1"/>
      <w:bookmarkEnd w:id="47"/>
      <w:r>
        <w:rPr>
          <w:rFonts w:ascii="times" w:eastAsia="times" w:hAnsi="times" w:cs="times"/>
          <w:b w:val="0"/>
          <w:i w:val="0"/>
          <w:strike w:val="0"/>
          <w:noProof w:val="0"/>
          <w:color w:val="000000"/>
          <w:position w:val="0"/>
          <w:sz w:val="24"/>
          <w:u w:val="none"/>
          <w:vertAlign w:val="baseline"/>
        </w:rPr>
        <w:t>Exercise due diligence in selecting a third-party service provider.</w:t>
      </w:r>
    </w:p>
    <w:p>
      <w:pPr>
        <w:keepNext w:val="0"/>
        <w:spacing w:before="120" w:after="0" w:line="300" w:lineRule="atLeast"/>
        <w:ind w:left="1080" w:right="0"/>
        <w:jc w:val="left"/>
      </w:pPr>
      <w:r>
        <w:rPr>
          <w:b/>
        </w:rPr>
        <w:t xml:space="preserve">(2)  </w:t>
      </w:r>
      <w:bookmarkStart w:id="48" w:name="Bookmark__f_2"/>
      <w:bookmarkEnd w:id="48"/>
      <w:r>
        <w:rPr>
          <w:rFonts w:ascii="times" w:eastAsia="times" w:hAnsi="times" w:cs="times"/>
          <w:b w:val="0"/>
          <w:i w:val="0"/>
          <w:strike w:val="0"/>
          <w:noProof w:val="0"/>
          <w:color w:val="000000"/>
          <w:position w:val="0"/>
          <w:sz w:val="24"/>
          <w:u w:val="none"/>
          <w:vertAlign w:val="baseline"/>
        </w:rPr>
        <w:t>Require third-party service providers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G.  </w:t>
      </w:r>
      <w:bookmarkStart w:id="49" w:name="Bookmark__g"/>
      <w:bookmarkEnd w:id="49"/>
      <w:r>
        <w:rPr>
          <w:rFonts w:ascii="times" w:eastAsia="times" w:hAnsi="times" w:cs="times"/>
          <w:b w:val="0"/>
          <w:i w:val="0"/>
          <w:strike w:val="0"/>
          <w:noProof w:val="0"/>
          <w:color w:val="000000"/>
          <w:position w:val="0"/>
          <w:sz w:val="24"/>
          <w:u w:val="none"/>
          <w:vertAlign w:val="baseline"/>
        </w:rPr>
        <w:t>A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including but not limited to mergers and acquisitions, alliances and joint ventures, outsourcing arrangements, and changes to information systems.</w:t>
      </w:r>
    </w:p>
    <w:p>
      <w:pPr>
        <w:spacing w:before="120" w:line="240" w:lineRule="atLeast"/>
        <w:ind w:left="720"/>
      </w:pPr>
      <w:r>
        <w:rPr>
          <w:b/>
        </w:rPr>
        <w:t xml:space="preserve">H.  </w:t>
      </w:r>
      <w:bookmarkStart w:id="50" w:name="Bookmark__h"/>
      <w:bookmarkEnd w:id="50"/>
    </w:p>
    <w:p>
      <w:pPr>
        <w:keepNext w:val="0"/>
        <w:spacing w:before="120" w:after="0" w:line="300" w:lineRule="atLeast"/>
        <w:ind w:left="1080" w:right="0"/>
        <w:jc w:val="left"/>
      </w:pPr>
      <w:r>
        <w:rPr>
          <w:b/>
        </w:rPr>
        <w:t xml:space="preserve">(1)  </w:t>
      </w:r>
      <w:bookmarkStart w:id="51" w:name="Bookmark__h_1"/>
      <w:bookmarkEnd w:id="51"/>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(2)  </w:t>
      </w:r>
      <w:bookmarkStart w:id="52" w:name="Bookmark__h_2"/>
      <w:bookmarkEnd w:id="52"/>
      <w:r>
        <w:rPr>
          <w:rFonts w:ascii="times" w:eastAsia="times" w:hAnsi="times" w:cs="times"/>
          <w:b w:val="0"/>
          <w:i w:val="0"/>
          <w:strike w:val="0"/>
          <w:noProof w:val="0"/>
          <w:color w:val="000000"/>
          <w:position w:val="0"/>
          <w:sz w:val="24"/>
          <w:u w:val="none"/>
          <w:vertAlign w:val="baseline"/>
        </w:rPr>
        <w:t>The incident response plan shall address all of the following:</w:t>
      </w:r>
    </w:p>
    <w:p>
      <w:pPr>
        <w:keepNext w:val="0"/>
        <w:spacing w:before="120" w:after="0" w:line="300" w:lineRule="atLeast"/>
        <w:ind w:left="1440" w:right="0"/>
        <w:jc w:val="left"/>
      </w:pPr>
      <w:r>
        <w:rPr>
          <w:b/>
        </w:rPr>
        <w:t xml:space="preserve">(a)  </w:t>
      </w:r>
      <w:bookmarkStart w:id="53" w:name="Bookmark__h_2_a"/>
      <w:bookmarkEnd w:id="5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54" w:name="Bookmark__h_2_b"/>
      <w:bookmarkEnd w:id="5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(c)  </w:t>
      </w:r>
      <w:bookmarkStart w:id="55" w:name="Bookmark__h_2_c"/>
      <w:bookmarkEnd w:id="5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(d)  </w:t>
      </w:r>
      <w:bookmarkStart w:id="56" w:name="Bookmark__h_2_d"/>
      <w:bookmarkEnd w:id="5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(e)  </w:t>
      </w:r>
      <w:bookmarkStart w:id="57" w:name="Bookmark__h_2_e"/>
      <w:bookmarkEnd w:id="5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(f)  </w:t>
      </w:r>
      <w:bookmarkStart w:id="58" w:name="Bookmark__h_2_f"/>
      <w:bookmarkEnd w:id="5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440" w:right="0"/>
        <w:jc w:val="left"/>
      </w:pPr>
      <w:r>
        <w:rPr>
          <w:b/>
        </w:rPr>
        <w:t xml:space="preserve">(g)  </w:t>
      </w:r>
      <w:bookmarkStart w:id="59" w:name="Bookmark__h_2_g"/>
      <w:bookmarkEnd w:id="59"/>
      <w:r>
        <w:rPr>
          <w:rFonts w:ascii="times" w:eastAsia="times" w:hAnsi="times" w:cs="times"/>
          <w:b w:val="0"/>
          <w:i w:val="0"/>
          <w:strike w:val="0"/>
          <w:noProof w:val="0"/>
          <w:color w:val="000000"/>
          <w:position w:val="0"/>
          <w:sz w:val="24"/>
          <w:u w:val="none"/>
          <w:vertAlign w:val="baseline"/>
        </w:rPr>
        <w:t xml:space="preserve">The evaluation and revision of the incident response plan, as necessary,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spacing w:before="120" w:line="240" w:lineRule="atLeast"/>
        <w:ind w:left="720"/>
      </w:pPr>
      <w:r>
        <w:rPr>
          <w:b/>
        </w:rPr>
        <w:t xml:space="preserve">I.  </w:t>
      </w:r>
      <w:bookmarkStart w:id="60" w:name="Bookmark__i"/>
      <w:bookmarkEnd w:id="60"/>
    </w:p>
    <w:p>
      <w:pPr>
        <w:keepNext w:val="0"/>
        <w:spacing w:before="120" w:after="0" w:line="300" w:lineRule="atLeast"/>
        <w:ind w:left="1080" w:right="0"/>
        <w:jc w:val="left"/>
      </w:pPr>
      <w:r>
        <w:rPr>
          <w:b/>
        </w:rPr>
        <w:t xml:space="preserve">(1)  </w:t>
      </w:r>
      <w:bookmarkStart w:id="61" w:name="Bookmark__i_1"/>
      <w:bookmarkEnd w:id="61"/>
      <w:r>
        <w:rPr>
          <w:rFonts w:ascii="times" w:eastAsia="times" w:hAnsi="times" w:cs="times"/>
          <w:b w:val="0"/>
          <w:i w:val="0"/>
          <w:strike w:val="0"/>
          <w:noProof w:val="0"/>
          <w:color w:val="000000"/>
          <w:position w:val="0"/>
          <w:sz w:val="24"/>
          <w:u w:val="none"/>
          <w:vertAlign w:val="baseline"/>
        </w:rPr>
        <w:t>Annually, each insurer domiciled in this state shall submit to the commissioner a written statement by February 15, certifying that the insurer is in compliance with the requirements set forth in R.S. 22:2504.</w:t>
      </w:r>
    </w:p>
    <w:p>
      <w:pPr>
        <w:keepNext w:val="0"/>
        <w:spacing w:before="120" w:after="0" w:line="300" w:lineRule="atLeast"/>
        <w:ind w:left="1080" w:right="0"/>
        <w:jc w:val="left"/>
      </w:pPr>
      <w:r>
        <w:rPr>
          <w:b/>
        </w:rPr>
        <w:t xml:space="preserve">(2)  </w:t>
      </w:r>
      <w:bookmarkStart w:id="62" w:name="Bookmark__i_2"/>
      <w:bookmarkEnd w:id="62"/>
      <w:r>
        <w:rPr>
          <w:rFonts w:ascii="times" w:eastAsia="times" w:hAnsi="times" w:cs="times"/>
          <w:b w:val="0"/>
          <w:i w:val="0"/>
          <w:strike w:val="0"/>
          <w:noProof w:val="0"/>
          <w:color w:val="000000"/>
          <w:position w:val="0"/>
          <w:sz w:val="24"/>
          <w:u w:val="none"/>
          <w:vertAlign w:val="baseline"/>
        </w:rPr>
        <w:t>Each insurer shall maintain for examination by the commissioner all records, schedules, and data supporting the certificate for a period of five years.</w:t>
      </w:r>
    </w:p>
    <w:p>
      <w:pPr>
        <w:keepNext w:val="0"/>
        <w:spacing w:before="120" w:after="0" w:line="300" w:lineRule="atLeast"/>
        <w:ind w:left="1080" w:right="0"/>
        <w:jc w:val="left"/>
      </w:pPr>
      <w:r>
        <w:rPr>
          <w:b/>
        </w:rPr>
        <w:t xml:space="preserve">(3)  </w:t>
      </w:r>
      <w:bookmarkStart w:id="63" w:name="Bookmark__i_3"/>
      <w:bookmarkEnd w:id="63"/>
      <w:r>
        <w:rPr>
          <w:rFonts w:ascii="times" w:eastAsia="times" w:hAnsi="times" w:cs="times"/>
          <w:b w:val="0"/>
          <w:i w:val="0"/>
          <w:strike w:val="0"/>
          <w:noProof w:val="0"/>
          <w:color w:val="000000"/>
          <w:position w:val="0"/>
          <w:sz w:val="24"/>
          <w:u w:val="none"/>
          <w:vertAlign w:val="baseline"/>
        </w:rPr>
        <w:t>To the extent an insurer identifies areas, systems, or processes that require material improvement, update, or redesign, the insurer shall document the identification and the remediation efforts planned and underway to address the areas, systems, or processes. The documentation shall be made available for inspection by the commissioner.</w:t>
      </w:r>
    </w:p>
    <w:p>
      <w:pPr>
        <w:keepNext/>
        <w:spacing w:before="240" w:after="0" w:line="340" w:lineRule="atLeast"/>
        <w:ind w:left="0" w:right="0" w:firstLine="0"/>
        <w:jc w:val="left"/>
      </w:pPr>
      <w:bookmarkStart w:id="64" w:name="History"/>
      <w:bookmarkEnd w:id="6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G-00000-00">
    <vt:lpwstr>Doc::/shared/document|contextualFeaturePermID::1516831</vt:lpwstr>
  </property>
  <property fmtid="{D5CDD505-2E9C-101B-9397-08002B2CF9AE}" pid="5" name="UserPermID">
    <vt:lpwstr>urn:user:PA186163333</vt:lpwstr>
  </property>
</Properties>
</file>