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10 M.R.S. § 1348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Regulation of Trade  (Chs. 201 — 237)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210-B. Notice of Risk to Personal </w:t>
      </w:r>
      <w:r>
        <w:rPr>
          <w:rFonts w:ascii="times" w:eastAsia="times" w:hAnsi="times" w:cs="times"/>
          <w:b/>
          <w:i/>
          <w:strike w:val="0"/>
          <w:noProof w:val="0"/>
          <w:color w:val="000000"/>
          <w:position w:val="0"/>
          <w:sz w:val="22"/>
          <w:u w:val="none"/>
          <w:vertAlign w:val="baseline"/>
        </w:rPr>
        <w:t>Data</w:t>
      </w:r>
      <w:r>
        <w:rPr>
          <w:rFonts w:ascii="times" w:eastAsia="times" w:hAnsi="times" w:cs="times"/>
          <w:b/>
          <w:i/>
          <w:strike w:val="0"/>
          <w:noProof w:val="0"/>
          <w:color w:val="000000"/>
          <w:position w:val="0"/>
          <w:sz w:val="22"/>
          <w:u w:val="none"/>
          <w:vertAlign w:val="baseline"/>
        </w:rPr>
        <w:t xml:space="preserve">  (§§ 1346 — 1350-B)</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1348. Security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xml:space="preserve"> notice requirements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Notification to residents.  </w:t>
      </w:r>
      <w:bookmarkStart w:id="1" w:name="Bookmark__1"/>
      <w:bookmarkEnd w:id="1"/>
      <w:r>
        <w:rPr>
          <w:rFonts w:ascii="times" w:eastAsia="times" w:hAnsi="times" w:cs="times"/>
          <w:b w:val="0"/>
          <w:i w:val="0"/>
          <w:strike w:val="0"/>
          <w:noProof w:val="0"/>
          <w:color w:val="000000"/>
          <w:position w:val="0"/>
          <w:sz w:val="24"/>
          <w:u w:val="none"/>
          <w:vertAlign w:val="baseline"/>
        </w:rPr>
        <w:t>The following provisions apply to notification to residents by information brokers and other persons.</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If an information broker that maintains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becomes aware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the information broker shall conduct in good faith a reasonable and prompt investigation to determine the likelihood that personal information has been or will be misused and shall give notice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following discovery or notification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a resident of this State whose personal information has been, or is reasonably believed to have been, acquired by an unauthorized person.</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If any other person who maintains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becomes aware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the person shall conduct in good faith a reasonable and prompt investigation to determine the likelihood that personal information has been or will be misused and shall give notice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following discovery or notification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a resident of this State if misuse of the personal information has occurred or if it is reasonably possible that misuse will occur.</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notices required under paragraphs A and B must be made as expediently as possible and without unreasonable delay, consistent with the legitimate needs of law enforcement pursuant to subsection 3 or with measures necessary to determine the scope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reasonable integrity, security and confidentiality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the system. If there is no delay of notification due to law enforcement investigation pursuant to subsection 3, the notices must be made no more than 30 days after the person identified in paragraph A or B becomes aware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and identifies its scope. </w:t>
      </w:r>
    </w:p>
    <w:p>
      <w:pPr>
        <w:keepNext w:val="0"/>
        <w:spacing w:before="120" w:after="0" w:line="300" w:lineRule="atLeast"/>
        <w:ind w:left="720" w:right="0"/>
        <w:jc w:val="left"/>
      </w:pPr>
      <w:r>
        <w:rPr>
          <w:b/>
        </w:rPr>
        <w:t xml:space="preserve">2. Notification to person maintaining personal information.  </w:t>
      </w:r>
      <w:bookmarkStart w:id="4" w:name="Bookmark__2"/>
      <w:bookmarkEnd w:id="4"/>
      <w:r>
        <w:rPr>
          <w:rFonts w:ascii="times" w:eastAsia="times" w:hAnsi="times" w:cs="times"/>
          <w:b w:val="0"/>
          <w:i w:val="0"/>
          <w:strike w:val="0"/>
          <w:noProof w:val="0"/>
          <w:color w:val="000000"/>
          <w:position w:val="0"/>
          <w:sz w:val="24"/>
          <w:u w:val="none"/>
          <w:vertAlign w:val="baseline"/>
        </w:rPr>
        <w:t xml:space="preserve">A 3rd-party entity that maintains, on behalf of a person,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that the 3rd-party entity does not own shall notify the person maintaining personal information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immediately following discovery if the personal information was, or is reasonably believed to have been, acquired by an unauthorized person.</w:t>
      </w:r>
    </w:p>
    <w:p>
      <w:pPr>
        <w:keepNext w:val="0"/>
        <w:spacing w:before="120" w:after="0" w:line="300" w:lineRule="atLeast"/>
        <w:ind w:left="720" w:right="0"/>
        <w:jc w:val="left"/>
      </w:pPr>
      <w:r>
        <w:rPr>
          <w:b/>
        </w:rPr>
        <w:t xml:space="preserve">3. Delay of notification; criminal investigation by law enforcement.  </w:t>
      </w:r>
      <w:bookmarkStart w:id="5" w:name="Bookmark__3"/>
      <w:bookmarkEnd w:id="5"/>
      <w:r>
        <w:rPr>
          <w:rFonts w:ascii="times" w:eastAsia="times" w:hAnsi="times" w:cs="times"/>
          <w:b w:val="0"/>
          <w:i w:val="0"/>
          <w:strike w:val="0"/>
          <w:noProof w:val="0"/>
          <w:color w:val="000000"/>
          <w:position w:val="0"/>
          <w:sz w:val="24"/>
          <w:u w:val="none"/>
          <w:vertAlign w:val="baseline"/>
        </w:rPr>
        <w:t>If, after the completion of an investigation required by subsection 1, notification is required under this section, the notification required by this section may be delayed for no longer than 7 business days after a law enforcement agency determines that the notification will not compromise a criminal investigation.</w:t>
      </w:r>
    </w:p>
    <w:p>
      <w:pPr>
        <w:keepNext w:val="0"/>
        <w:spacing w:before="120" w:after="0" w:line="300" w:lineRule="atLeast"/>
        <w:ind w:left="720" w:right="0"/>
        <w:jc w:val="left"/>
      </w:pPr>
      <w:r>
        <w:rPr>
          <w:b/>
        </w:rPr>
        <w:t xml:space="preserve">4. Notification to consumer reporting agencies.  </w:t>
      </w:r>
      <w:bookmarkStart w:id="6" w:name="Bookmark__4"/>
      <w:bookmarkEnd w:id="6"/>
      <w:r>
        <w:rPr>
          <w:rFonts w:ascii="times" w:eastAsia="times" w:hAnsi="times" w:cs="times"/>
          <w:b w:val="0"/>
          <w:i w:val="0"/>
          <w:strike w:val="0"/>
          <w:noProof w:val="0"/>
          <w:color w:val="000000"/>
          <w:position w:val="0"/>
          <w:sz w:val="24"/>
          <w:u w:val="none"/>
          <w:vertAlign w:val="baseline"/>
        </w:rPr>
        <w:t xml:space="preserve">If a person discovers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that requires notification to more than 1,000 persons at a single time, the person shall also notify, without unreasonable delay, consumer reporting agencies that compile and maintain files on consumers on a nationwide basis, as defined in 15 United States Code, Section 1681a(p). Notification must include the date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 estimate of the number of persons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if known, and the actual or anticipated date that persons were or will be notified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5. Notification to state regulators.  </w:t>
      </w:r>
      <w:bookmarkStart w:id="7" w:name="Bookmark__5"/>
      <w:bookmarkEnd w:id="7"/>
      <w:r>
        <w:rPr>
          <w:rFonts w:ascii="times" w:eastAsia="times" w:hAnsi="times" w:cs="times"/>
          <w:b w:val="0"/>
          <w:i w:val="0"/>
          <w:strike w:val="0"/>
          <w:noProof w:val="0"/>
          <w:color w:val="000000"/>
          <w:position w:val="0"/>
          <w:sz w:val="24"/>
          <w:u w:val="none"/>
          <w:vertAlign w:val="baseline"/>
        </w:rPr>
        <w:t xml:space="preserve">When notice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is required under subsection 1, the person shall notify the appropriate state regulators within the Department of Professional and Financial Regulation, or if the person is not regulated by the department, the Attorney General.</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2005, c. 379, §1 (NEW). PL 2005, c. 379, §4 (AFF). PL 2005, c. 583, §§6-9 (AMD). PL 2005, c. 583, §14 (AFF). PL 2009, c. 161, §3 (AMD). PL 2009, c. 161, §5 (AFF). PL 2019, c. 512, §2 (AMD)..</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10 M.R.S. § 1348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M.R.S. § 1348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222378791</vt:lpwstr>
  </property>
  <property fmtid="{D5CDD505-2E9C-101B-9397-08002B2CF9AE}" pid="3" name="LADocCount">
    <vt:lpwstr>1</vt:lpwstr>
  </property>
  <property fmtid="{D5CDD505-2E9C-101B-9397-08002B2CF9AE}" pid="4" name="LADocumentID:urn:contentItem:64VM-YTX3-GXJ9-349T-00000-00">
    <vt:lpwstr>Doc::/shared/document|contextualFeaturePermID::1516831</vt:lpwstr>
  </property>
  <property fmtid="{D5CDD505-2E9C-101B-9397-08002B2CF9AE}" pid="5" name="UserPermID">
    <vt:lpwstr>urn:user:PA186163333</vt:lpwstr>
  </property>
</Properties>
</file>