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24-A M.R.S. § 2263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24-A. Maine Insurance Code  (Chs. 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24-B. Maine Insurance Data Security Act  (§§ 2261 — 2272)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2263. Definitions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(WHOLE SECTION TEXT EFFECTIVE 1/1/22 by T. 24-A, 2272)</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otherwise indicates, the following terms have the following meanings.</w:t>
      </w:r>
    </w:p>
    <w:p>
      <w:pPr>
        <w:keepNext w:val="0"/>
        <w:spacing w:before="120" w:after="0" w:line="300" w:lineRule="atLeast"/>
        <w:ind w:left="1080" w:right="0"/>
        <w:jc w:val="left"/>
      </w:pPr>
      <w:r>
        <w:rPr>
          <w:b/>
        </w:rPr>
        <w:t xml:space="preserve">1. Authorized individual.  </w:t>
      </w:r>
      <w:bookmarkStart w:id="1" w:name="Bookmark__1"/>
      <w:bookmarkEnd w:id="1"/>
      <w:r>
        <w:rPr>
          <w:rFonts w:ascii="times" w:eastAsia="times" w:hAnsi="times" w:cs="times"/>
          <w:b w:val="0"/>
          <w:i w:val="0"/>
          <w:strike w:val="0"/>
          <w:noProof w:val="0"/>
          <w:color w:val="000000"/>
          <w:position w:val="0"/>
          <w:sz w:val="24"/>
          <w:u w:val="none"/>
          <w:vertAlign w:val="baseline"/>
        </w:rPr>
        <w:t>“Authorized individual” means an individual whose access to the nonpublic information held by a licensee and its information systems is authorized and determined by the licensee to be necessary and appropriate.</w:t>
      </w:r>
    </w:p>
    <w:p>
      <w:pPr>
        <w:keepNext w:val="0"/>
        <w:spacing w:before="120" w:after="0" w:line="300" w:lineRule="atLeast"/>
        <w:ind w:left="1080" w:right="0"/>
        <w:jc w:val="left"/>
      </w:pPr>
      <w:r>
        <w:rPr>
          <w:b/>
        </w:rPr>
        <w:t xml:space="preserve">2. Consumer.  </w:t>
      </w:r>
      <w:bookmarkStart w:id="2" w:name="Bookmark__2"/>
      <w:bookmarkEnd w:id="2"/>
      <w:r>
        <w:rPr>
          <w:rFonts w:ascii="times" w:eastAsia="times" w:hAnsi="times" w:cs="times"/>
          <w:b w:val="0"/>
          <w:i w:val="0"/>
          <w:strike w:val="0"/>
          <w:noProof w:val="0"/>
          <w:color w:val="000000"/>
          <w:position w:val="0"/>
          <w:sz w:val="24"/>
          <w:u w:val="none"/>
          <w:vertAlign w:val="baseline"/>
        </w:rPr>
        <w:t>“Consumer” means an individual, including but not limited to an applicant for insurance, policyholder, insured, beneficiary, claimant or certificate 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3. Cybersecurity event.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disruption of or misuse of an information system or information stored on an information system.</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the unauthorized acquisition of encrypted nonpublic information if the encryption process or key is not also acquired, released or used without authorization.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4. Encrypted.  </w:t>
      </w:r>
      <w:bookmarkStart w:id="4" w:name="Bookmark__4"/>
      <w:bookmarkEnd w:id="4"/>
      <w:r>
        <w:rPr>
          <w:rFonts w:ascii="times" w:eastAsia="times" w:hAnsi="times" w:cs="times"/>
          <w:b w:val="0"/>
          <w:i w:val="0"/>
          <w:strike w:val="0"/>
          <w:noProof w:val="0"/>
          <w:color w:val="000000"/>
          <w:position w:val="0"/>
          <w:sz w:val="24"/>
          <w:u w:val="none"/>
          <w:vertAlign w:val="baseline"/>
        </w:rPr>
        <w:t>“Encrypted,” with respect to data, means that the data has been transformed into a form that results in a low probability of assigning meaning without the use of a protective process or key.</w:t>
      </w:r>
    </w:p>
    <w:p>
      <w:pPr>
        <w:keepNext w:val="0"/>
        <w:spacing w:before="120" w:after="0" w:line="300" w:lineRule="atLeast"/>
        <w:ind w:left="1080" w:right="0"/>
        <w:jc w:val="left"/>
      </w:pPr>
      <w:r>
        <w:rPr>
          <w:b/>
        </w:rPr>
        <w:t xml:space="preserve">5. Information security program.  </w:t>
      </w:r>
      <w:bookmarkStart w:id="5" w:name="Bookmark__5"/>
      <w:bookmarkEnd w:id="5"/>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6. Information system.  </w:t>
      </w:r>
      <w:bookmarkStart w:id="6" w:name="Bookmark__6"/>
      <w:bookmarkEnd w:id="6"/>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information, as well as any specialized system such as an industrial or process control system, a telephone switching and private branch exchange system or an environmental control system.</w:t>
      </w:r>
    </w:p>
    <w:p>
      <w:pPr>
        <w:keepNext w:val="0"/>
        <w:spacing w:before="120" w:after="0" w:line="300" w:lineRule="atLeast"/>
        <w:ind w:left="1080" w:right="0"/>
        <w:jc w:val="left"/>
      </w:pPr>
      <w:r>
        <w:rPr>
          <w:b/>
        </w:rPr>
        <w:t xml:space="preserve">7. Insurance carrier.  </w:t>
      </w:r>
      <w:bookmarkStart w:id="7" w:name="Bookmark__7"/>
      <w:bookmarkEnd w:id="7"/>
      <w:r>
        <w:rPr>
          <w:rFonts w:ascii="times" w:eastAsia="times" w:hAnsi="times" w:cs="times"/>
          <w:b w:val="0"/>
          <w:i w:val="0"/>
          <w:strike w:val="0"/>
          <w:noProof w:val="0"/>
          <w:color w:val="000000"/>
          <w:position w:val="0"/>
          <w:sz w:val="24"/>
          <w:u w:val="none"/>
          <w:vertAlign w:val="baseline"/>
        </w:rPr>
        <w:t>“Insurance carrier” has the same meaning as in section 2204, subsection 15.</w:t>
      </w:r>
    </w:p>
    <w:p>
      <w:pPr>
        <w:keepNext w:val="0"/>
        <w:spacing w:before="120" w:after="0" w:line="300" w:lineRule="atLeast"/>
        <w:ind w:left="1080" w:right="0"/>
        <w:jc w:val="left"/>
      </w:pPr>
      <w:r>
        <w:rPr>
          <w:b/>
        </w:rPr>
        <w:t xml:space="preserve">8. Licensee.  </w:t>
      </w:r>
      <w:bookmarkStart w:id="8" w:name="Bookmark__8"/>
      <w:bookmarkEnd w:id="8"/>
      <w:r>
        <w:rPr>
          <w:rFonts w:ascii="times" w:eastAsia="times" w:hAnsi="times" w:cs="times"/>
          <w:b w:val="0"/>
          <w:i w:val="0"/>
          <w:strike w:val="0"/>
          <w:noProof w:val="0"/>
          <w:color w:val="000000"/>
          <w:position w:val="0"/>
          <w:sz w:val="24"/>
          <w:u w:val="none"/>
          <w:vertAlign w:val="baseline"/>
        </w:rPr>
        <w:t>“Licensee” means a person licensed, authorized to operate or registered or required to be licensed, authorized or registered pursuant to the insurance laws of this State. “Licensee” does not include a purchasing group or a risk retention group chartered and licensed in a state other than this State or a licensee that is acting as an assuming insurer and is domiciled in another state or jurisdiction.</w:t>
      </w:r>
    </w:p>
    <w:p>
      <w:pPr>
        <w:keepNext w:val="0"/>
        <w:spacing w:before="120" w:after="0" w:line="300" w:lineRule="atLeast"/>
        <w:ind w:left="1080" w:right="0"/>
        <w:jc w:val="left"/>
      </w:pPr>
      <w:r>
        <w:rPr>
          <w:b/>
        </w:rPr>
        <w:t xml:space="preserve">9. Multifactor authentication.  </w:t>
      </w:r>
      <w:bookmarkStart w:id="9" w:name="Bookmark__9"/>
      <w:bookmarkEnd w:id="9"/>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2 of the following types of authentication factors:</w:t>
      </w:r>
    </w:p>
    <w:p>
      <w:pPr>
        <w:keepNext w:val="0"/>
        <w:spacing w:before="120" w:after="0" w:line="300" w:lineRule="atLeast"/>
        <w:ind w:left="1440" w:right="0"/>
        <w:jc w:val="left"/>
      </w:pPr>
      <w:r>
        <w:rPr>
          <w:b/>
        </w:rPr>
        <w:t xml:space="preserve">A.  </w:t>
      </w:r>
      <w:bookmarkStart w:id="10" w:name="Bookmark__9_a"/>
      <w:bookmarkEnd w:id="10"/>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B.  </w:t>
      </w:r>
      <w:bookmarkStart w:id="11" w:name="Bookmark__9_b"/>
      <w:bookmarkEnd w:id="11"/>
      <w:r>
        <w:rPr>
          <w:rFonts w:ascii="times" w:eastAsia="times" w:hAnsi="times" w:cs="times"/>
          <w:b w:val="0"/>
          <w:i w:val="0"/>
          <w:strike w:val="0"/>
          <w:noProof w:val="0"/>
          <w:color w:val="000000"/>
          <w:position w:val="0"/>
          <w:sz w:val="24"/>
          <w:u w:val="none"/>
          <w:vertAlign w:val="baseline"/>
        </w:rPr>
        <w:t>Possession factors, such as a token or text message on a mobile telephone; and</w:t>
      </w:r>
    </w:p>
    <w:p>
      <w:pPr>
        <w:keepNext w:val="0"/>
        <w:spacing w:before="120" w:after="0" w:line="300" w:lineRule="atLeast"/>
        <w:ind w:left="1440" w:right="0"/>
        <w:jc w:val="left"/>
      </w:pPr>
      <w:r>
        <w:rPr>
          <w:b/>
        </w:rPr>
        <w:t xml:space="preserve">C.  </w:t>
      </w:r>
      <w:bookmarkStart w:id="12" w:name="Bookmark__9_c"/>
      <w:bookmarkEnd w:id="12"/>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b/>
        </w:rPr>
        <w:t xml:space="preserve">10. Nonpublic information.  </w:t>
      </w:r>
      <w:bookmarkStart w:id="13" w:name="Bookmark__10"/>
      <w:bookmarkEnd w:id="13"/>
      <w:r>
        <w:rPr>
          <w:rFonts w:ascii="times" w:eastAsia="times" w:hAnsi="times" w:cs="times"/>
          <w:b w:val="0"/>
          <w:i w:val="0"/>
          <w:strike w:val="0"/>
          <w:noProof w:val="0"/>
          <w:color w:val="000000"/>
          <w:position w:val="0"/>
          <w:sz w:val="24"/>
          <w:u w:val="none"/>
          <w:vertAlign w:val="baseline"/>
        </w:rPr>
        <w:t>“Nonpublic information” means information that is not publicly available information and is:</w:t>
      </w:r>
    </w:p>
    <w:p>
      <w:pPr>
        <w:keepNext w:val="0"/>
        <w:spacing w:before="120" w:after="0" w:line="300" w:lineRule="atLeast"/>
        <w:ind w:left="1440" w:right="0"/>
        <w:jc w:val="left"/>
      </w:pPr>
      <w:r>
        <w:rPr>
          <w:b/>
        </w:rPr>
        <w:t xml:space="preserve">A.  </w:t>
      </w:r>
      <w:bookmarkStart w:id="14" w:name="Bookmark__10_a"/>
      <w:bookmarkEnd w:id="14"/>
      <w:r>
        <w:rPr>
          <w:rFonts w:ascii="times" w:eastAsia="times" w:hAnsi="times" w:cs="times"/>
          <w:b w:val="0"/>
          <w:i w:val="0"/>
          <w:strike w:val="0"/>
          <w:noProof w:val="0"/>
          <w:color w:val="000000"/>
          <w:position w:val="0"/>
          <w:sz w:val="24"/>
          <w:u w:val="none"/>
          <w:vertAlign w:val="baseline"/>
        </w:rPr>
        <w:t>Business-related information of a licensee the tampering with or unauthorized disclosure of, access to or use of which would materially and adversely affect the business, operations or security of the licensee;</w:t>
      </w:r>
    </w:p>
    <w:p>
      <w:pPr>
        <w:keepNext w:val="0"/>
        <w:spacing w:before="120" w:after="0" w:line="300" w:lineRule="atLeast"/>
        <w:ind w:left="1440" w:right="0"/>
        <w:jc w:val="left"/>
      </w:pPr>
      <w:r>
        <w:rPr>
          <w:b/>
        </w:rPr>
        <w:t xml:space="preserve">B.  </w:t>
      </w:r>
      <w:bookmarkStart w:id="15" w:name="Bookmark__10_b"/>
      <w:bookmarkEnd w:id="15"/>
      <w:r>
        <w:rPr>
          <w:rFonts w:ascii="times" w:eastAsia="times" w:hAnsi="times" w:cs="times"/>
          <w:b w:val="0"/>
          <w:i w:val="0"/>
          <w:strike w:val="0"/>
          <w:noProof w:val="0"/>
          <w:color w:val="000000"/>
          <w:position w:val="0"/>
          <w:sz w:val="24"/>
          <w:u w:val="none"/>
          <w:vertAlign w:val="baseline"/>
        </w:rPr>
        <w:t>Information that, because of name, number, personal mark or other identifier, can be used in combination with any one or more of the following data elements to identify a consumer:</w:t>
      </w:r>
    </w:p>
    <w:p>
      <w:pPr>
        <w:keepNext w:val="0"/>
        <w:spacing w:before="120" w:after="0" w:line="300" w:lineRule="atLeast"/>
        <w:ind w:left="2160" w:right="0"/>
        <w:jc w:val="left"/>
      </w:pPr>
      <w:r>
        <w:rPr>
          <w:b/>
        </w:rPr>
        <w:t xml:space="preserve">(1)  </w:t>
      </w:r>
      <w:bookmarkStart w:id="16" w:name="Bookmark__10_b_1"/>
      <w:bookmarkEnd w:id="16"/>
      <w:r>
        <w:rPr>
          <w:rFonts w:ascii="times" w:eastAsia="times" w:hAnsi="times" w:cs="times"/>
          <w:b w:val="0"/>
          <w:i w:val="0"/>
          <w:strike w:val="0"/>
          <w:noProof w:val="0"/>
          <w:color w:val="000000"/>
          <w:position w:val="0"/>
          <w:sz w:val="24"/>
          <w:u w:val="none"/>
          <w:vertAlign w:val="baseline"/>
        </w:rPr>
        <w:t xml:space="preserve">Social security number; </w:t>
      </w:r>
    </w:p>
    <w:p>
      <w:pPr>
        <w:keepNext w:val="0"/>
        <w:spacing w:before="120" w:after="0" w:line="300" w:lineRule="atLeast"/>
        <w:ind w:left="2160" w:right="0"/>
        <w:jc w:val="left"/>
      </w:pPr>
      <w:r>
        <w:rPr>
          <w:b/>
        </w:rPr>
        <w:t xml:space="preserve">(2)  </w:t>
      </w:r>
      <w:bookmarkStart w:id="17" w:name="Bookmark__10_b_2"/>
      <w:bookmarkEnd w:id="17"/>
      <w:r>
        <w:rPr>
          <w:rFonts w:ascii="times" w:eastAsia="times" w:hAnsi="times" w:cs="times"/>
          <w:b w:val="0"/>
          <w:i w:val="0"/>
          <w:strike w:val="0"/>
          <w:noProof w:val="0"/>
          <w:color w:val="000000"/>
          <w:position w:val="0"/>
          <w:sz w:val="24"/>
          <w:u w:val="none"/>
          <w:vertAlign w:val="baseline"/>
        </w:rPr>
        <w:t xml:space="preserve">Driver’s license number or nondriver identification card number; </w:t>
      </w:r>
    </w:p>
    <w:p>
      <w:pPr>
        <w:keepNext w:val="0"/>
        <w:spacing w:before="120" w:after="0" w:line="300" w:lineRule="atLeast"/>
        <w:ind w:left="2160" w:right="0"/>
        <w:jc w:val="left"/>
      </w:pPr>
      <w:r>
        <w:rPr>
          <w:b/>
        </w:rPr>
        <w:t xml:space="preserve">(3)  </w:t>
      </w:r>
      <w:bookmarkStart w:id="18" w:name="Bookmark__10_b_3"/>
      <w:bookmarkEnd w:id="18"/>
      <w:r>
        <w:rPr>
          <w:rFonts w:ascii="times" w:eastAsia="times" w:hAnsi="times" w:cs="times"/>
          <w:b w:val="0"/>
          <w:i w:val="0"/>
          <w:strike w:val="0"/>
          <w:noProof w:val="0"/>
          <w:color w:val="000000"/>
          <w:position w:val="0"/>
          <w:sz w:val="24"/>
          <w:u w:val="none"/>
          <w:vertAlign w:val="baseline"/>
        </w:rPr>
        <w:t xml:space="preserve">Financial account number or credit or debit card number; </w:t>
      </w:r>
    </w:p>
    <w:p>
      <w:pPr>
        <w:keepNext w:val="0"/>
        <w:spacing w:before="120" w:after="0" w:line="300" w:lineRule="atLeast"/>
        <w:ind w:left="2160" w:right="0"/>
        <w:jc w:val="left"/>
      </w:pPr>
      <w:r>
        <w:rPr>
          <w:b/>
        </w:rPr>
        <w:t xml:space="preserve">(4)  </w:t>
      </w:r>
      <w:bookmarkStart w:id="19" w:name="Bookmark__10_b_4"/>
      <w:bookmarkEnd w:id="19"/>
      <w:r>
        <w:rPr>
          <w:rFonts w:ascii="times" w:eastAsia="times" w:hAnsi="times" w:cs="times"/>
          <w:b w:val="0"/>
          <w:i w:val="0"/>
          <w:strike w:val="0"/>
          <w:noProof w:val="0"/>
          <w:color w:val="000000"/>
          <w:position w:val="0"/>
          <w:sz w:val="24"/>
          <w:u w:val="none"/>
          <w:vertAlign w:val="baseline"/>
        </w:rPr>
        <w:t xml:space="preserve">Any security code, access code or password that would permit access to a consumer’s financial account; or </w:t>
      </w:r>
    </w:p>
    <w:p>
      <w:pPr>
        <w:keepNext w:val="0"/>
        <w:spacing w:before="120" w:after="0" w:line="300" w:lineRule="atLeast"/>
        <w:ind w:left="2160" w:right="0"/>
        <w:jc w:val="left"/>
      </w:pPr>
      <w:r>
        <w:rPr>
          <w:b/>
        </w:rPr>
        <w:t xml:space="preserve">(5)  </w:t>
      </w:r>
      <w:bookmarkStart w:id="20" w:name="Bookmark__10_b_5"/>
      <w:bookmarkEnd w:id="20"/>
      <w:r>
        <w:rPr>
          <w:rFonts w:ascii="times" w:eastAsia="times" w:hAnsi="times" w:cs="times"/>
          <w:b w:val="0"/>
          <w:i w:val="0"/>
          <w:strike w:val="0"/>
          <w:noProof w:val="0"/>
          <w:color w:val="000000"/>
          <w:position w:val="0"/>
          <w:sz w:val="24"/>
          <w:u w:val="none"/>
          <w:vertAlign w:val="baseline"/>
        </w:rPr>
        <w:t xml:space="preserve">Biometric records; or </w:t>
      </w:r>
    </w:p>
    <w:p>
      <w:pPr>
        <w:keepNext w:val="0"/>
        <w:spacing w:before="120" w:after="0" w:line="300" w:lineRule="atLeast"/>
        <w:ind w:left="1440" w:right="0"/>
        <w:jc w:val="left"/>
      </w:pPr>
      <w:r>
        <w:rPr>
          <w:b/>
        </w:rPr>
        <w:t xml:space="preserve">C.  </w:t>
      </w:r>
      <w:bookmarkStart w:id="21" w:name="Bookmark__10_c"/>
      <w:bookmarkEnd w:id="21"/>
      <w:r>
        <w:rPr>
          <w:rFonts w:ascii="times" w:eastAsia="times" w:hAnsi="times" w:cs="times"/>
          <w:b w:val="0"/>
          <w:i w:val="0"/>
          <w:strike w:val="0"/>
          <w:noProof w:val="0"/>
          <w:color w:val="000000"/>
          <w:position w:val="0"/>
          <w:sz w:val="24"/>
          <w:u w:val="none"/>
          <w:vertAlign w:val="baseline"/>
        </w:rPr>
        <w:t>Information or data, except age or gender, in any form or medium created by or derived from a health care provider or a consumer and that relates to:</w:t>
      </w:r>
    </w:p>
    <w:p>
      <w:pPr>
        <w:keepNext w:val="0"/>
        <w:spacing w:before="120" w:after="0" w:line="300" w:lineRule="atLeast"/>
        <w:ind w:left="2160" w:right="0"/>
        <w:jc w:val="left"/>
      </w:pPr>
      <w:r>
        <w:rPr>
          <w:b/>
        </w:rPr>
        <w:t xml:space="preserve">(1)  </w:t>
      </w:r>
      <w:bookmarkStart w:id="22" w:name="Bookmark__10_c_1"/>
      <w:bookmarkEnd w:id="22"/>
      <w:r>
        <w:rPr>
          <w:rFonts w:ascii="times" w:eastAsia="times" w:hAnsi="times" w:cs="times"/>
          <w:b w:val="0"/>
          <w:i w:val="0"/>
          <w:strike w:val="0"/>
          <w:noProof w:val="0"/>
          <w:color w:val="000000"/>
          <w:position w:val="0"/>
          <w:sz w:val="24"/>
          <w:u w:val="none"/>
          <w:vertAlign w:val="baseline"/>
        </w:rPr>
        <w:t xml:space="preserve">The past, present or future physical, mental or behavioral health or condition of a consumer or a member of the consumer’s family; </w:t>
      </w:r>
    </w:p>
    <w:p>
      <w:pPr>
        <w:keepNext w:val="0"/>
        <w:spacing w:before="120" w:after="0" w:line="300" w:lineRule="atLeast"/>
        <w:ind w:left="2160" w:right="0"/>
        <w:jc w:val="left"/>
      </w:pPr>
      <w:r>
        <w:rPr>
          <w:b/>
        </w:rPr>
        <w:t xml:space="preserve">(2)  </w:t>
      </w:r>
      <w:bookmarkStart w:id="23" w:name="Bookmark__10_c_2"/>
      <w:bookmarkEnd w:id="23"/>
      <w:r>
        <w:rPr>
          <w:rFonts w:ascii="times" w:eastAsia="times" w:hAnsi="times" w:cs="times"/>
          <w:b w:val="0"/>
          <w:i w:val="0"/>
          <w:strike w:val="0"/>
          <w:noProof w:val="0"/>
          <w:color w:val="000000"/>
          <w:position w:val="0"/>
          <w:sz w:val="24"/>
          <w:u w:val="none"/>
          <w:vertAlign w:val="baseline"/>
        </w:rPr>
        <w:t xml:space="preserve">The provision of health care to a consumer; or </w:t>
      </w:r>
    </w:p>
    <w:p>
      <w:pPr>
        <w:keepNext w:val="0"/>
        <w:spacing w:before="120" w:after="0" w:line="300" w:lineRule="atLeast"/>
        <w:ind w:left="2160" w:right="0"/>
        <w:jc w:val="left"/>
      </w:pPr>
      <w:r>
        <w:rPr>
          <w:b/>
        </w:rPr>
        <w:t xml:space="preserve">(3)  </w:t>
      </w:r>
      <w:bookmarkStart w:id="24" w:name="Bookmark__10_c_3"/>
      <w:bookmarkEnd w:id="24"/>
      <w:r>
        <w:rPr>
          <w:rFonts w:ascii="times" w:eastAsia="times" w:hAnsi="times" w:cs="times"/>
          <w:b w:val="0"/>
          <w:i w:val="0"/>
          <w:strike w:val="0"/>
          <w:noProof w:val="0"/>
          <w:color w:val="000000"/>
          <w:position w:val="0"/>
          <w:sz w:val="24"/>
          <w:u w:val="none"/>
          <w:vertAlign w:val="baseline"/>
        </w:rPr>
        <w:t xml:space="preserve">Payment for the provision of health care to a consumer. </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“Nonpublic information” does not include a consumer’s personally identifiable information that has been anonymized using a method no less secure than the so-called safe harbor method under the federal Health Insurance Portability and Accountability Act of 1996, Public Law 104-191.</w:t>
      </w:r>
    </w:p>
    <w:p>
      <w:pPr>
        <w:keepNext w:val="0"/>
        <w:spacing w:before="120" w:after="0" w:line="300" w:lineRule="atLeast"/>
        <w:ind w:left="1080" w:right="0"/>
        <w:jc w:val="left"/>
      </w:pPr>
      <w:r>
        <w:rPr>
          <w:b/>
        </w:rPr>
        <w:t xml:space="preserve">11. Publicly available information.  </w:t>
      </w:r>
      <w:bookmarkStart w:id="25" w:name="Bookmark__11"/>
      <w:bookmarkEnd w:id="25"/>
      <w:r>
        <w:rPr>
          <w:rFonts w:ascii="times" w:eastAsia="times" w:hAnsi="times" w:cs="times"/>
          <w:b w:val="0"/>
          <w:i w:val="0"/>
          <w:strike w:val="0"/>
          <w:noProof w:val="0"/>
          <w:color w:val="000000"/>
          <w:position w:val="0"/>
          <w:sz w:val="24"/>
          <w:u w:val="none"/>
          <w:vertAlign w:val="baseline"/>
        </w:rPr>
        <w:t>“Publicly available information” means information that a licensee has a reasonable basis to believe is lawfully made available to the general public from:</w:t>
      </w:r>
    </w:p>
    <w:p>
      <w:pPr>
        <w:keepNext w:val="0"/>
        <w:spacing w:before="120" w:after="0" w:line="300" w:lineRule="atLeast"/>
        <w:ind w:left="1440" w:right="0"/>
        <w:jc w:val="left"/>
      </w:pPr>
      <w:r>
        <w:rPr>
          <w:b/>
        </w:rPr>
        <w:t xml:space="preserve">A.  </w:t>
      </w:r>
      <w:bookmarkStart w:id="26" w:name="Bookmark__11_a"/>
      <w:bookmarkEnd w:id="26"/>
      <w:r>
        <w:rPr>
          <w:rFonts w:ascii="times" w:eastAsia="times" w:hAnsi="times" w:cs="times"/>
          <w:b w:val="0"/>
          <w:i w:val="0"/>
          <w:strike w:val="0"/>
          <w:noProof w:val="0"/>
          <w:color w:val="000000"/>
          <w:position w:val="0"/>
          <w:sz w:val="24"/>
          <w:u w:val="none"/>
          <w:vertAlign w:val="baseline"/>
        </w:rPr>
        <w:t>Federal, state or local government records;</w:t>
      </w:r>
    </w:p>
    <w:p>
      <w:pPr>
        <w:keepNext w:val="0"/>
        <w:spacing w:before="120" w:after="0" w:line="300" w:lineRule="atLeast"/>
        <w:ind w:left="1440" w:right="0"/>
        <w:jc w:val="left"/>
      </w:pPr>
      <w:r>
        <w:rPr>
          <w:b/>
        </w:rPr>
        <w:t xml:space="preserve">B.  </w:t>
      </w:r>
      <w:bookmarkStart w:id="27" w:name="Bookmark__11_b"/>
      <w:bookmarkEnd w:id="27"/>
      <w:r>
        <w:rPr>
          <w:rFonts w:ascii="times" w:eastAsia="times" w:hAnsi="times" w:cs="times"/>
          <w:b w:val="0"/>
          <w:i w:val="0"/>
          <w:strike w:val="0"/>
          <w:noProof w:val="0"/>
          <w:color w:val="000000"/>
          <w:position w:val="0"/>
          <w:sz w:val="24"/>
          <w:u w:val="none"/>
          <w:vertAlign w:val="baseline"/>
        </w:rPr>
        <w:t>Widely distributed media; or</w:t>
      </w:r>
    </w:p>
    <w:p>
      <w:pPr>
        <w:keepNext w:val="0"/>
        <w:spacing w:before="120" w:after="0" w:line="300" w:lineRule="atLeast"/>
        <w:ind w:left="1440" w:right="0"/>
        <w:jc w:val="left"/>
      </w:pPr>
      <w:r>
        <w:rPr>
          <w:b/>
        </w:rPr>
        <w:t xml:space="preserve">C.  </w:t>
      </w:r>
      <w:bookmarkStart w:id="28" w:name="Bookmark__11_c"/>
      <w:bookmarkEnd w:id="28"/>
      <w:r>
        <w:rPr>
          <w:rFonts w:ascii="times" w:eastAsia="times" w:hAnsi="times" w:cs="times"/>
          <w:b w:val="0"/>
          <w:i w:val="0"/>
          <w:strike w:val="0"/>
          <w:noProof w:val="0"/>
          <w:color w:val="000000"/>
          <w:position w:val="0"/>
          <w:sz w:val="24"/>
          <w:u w:val="none"/>
          <w:vertAlign w:val="baseline"/>
        </w:rPr>
        <w:t>Disclosures to the general public that are required to be made by federal, state or local law.</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For the purposes of this definition, a licensee has a reasonable basis to believe that information is lawfully made available to the general public if the licensee has taken steps to determine that the information is of a type that is available to the general public and if a consumer can direct that the information not be made available to the general public and, if so, that the consumer has not done so. </w:t>
      </w:r>
    </w:p>
    <w:p>
      <w:pPr>
        <w:keepNext w:val="0"/>
        <w:spacing w:before="120" w:after="0" w:line="300" w:lineRule="atLeast"/>
        <w:ind w:left="1080" w:right="0"/>
        <w:jc w:val="left"/>
      </w:pPr>
      <w:r>
        <w:rPr>
          <w:b/>
        </w:rPr>
        <w:t xml:space="preserve">12. Risk assessment.  </w:t>
      </w:r>
      <w:bookmarkStart w:id="29" w:name="Bookmark__12"/>
      <w:bookmarkEnd w:id="29"/>
      <w:r>
        <w:rPr>
          <w:rFonts w:ascii="times" w:eastAsia="times" w:hAnsi="times" w:cs="times"/>
          <w:b w:val="0"/>
          <w:i w:val="0"/>
          <w:strike w:val="0"/>
          <w:noProof w:val="0"/>
          <w:color w:val="000000"/>
          <w:position w:val="0"/>
          <w:sz w:val="24"/>
          <w:u w:val="none"/>
          <w:vertAlign w:val="baseline"/>
        </w:rPr>
        <w:t>“Risk assessment” means the risk assessment that a licensee is required to conduct under section 2264, subsection 3.</w:t>
      </w:r>
    </w:p>
    <w:p>
      <w:pPr>
        <w:keepNext w:val="0"/>
        <w:spacing w:before="120" w:after="0" w:line="300" w:lineRule="atLeast"/>
        <w:ind w:left="1080" w:right="0"/>
        <w:jc w:val="left"/>
      </w:pPr>
      <w:r>
        <w:rPr>
          <w:b/>
        </w:rPr>
        <w:t xml:space="preserve">13. Third-party service provider.  </w:t>
      </w:r>
      <w:bookmarkStart w:id="30" w:name="Bookmark__13"/>
      <w:bookmarkEnd w:id="30"/>
      <w:r>
        <w:rPr>
          <w:rFonts w:ascii="times" w:eastAsia="times" w:hAnsi="times" w:cs="times"/>
          <w:b w:val="0"/>
          <w:i w:val="0"/>
          <w:strike w:val="0"/>
          <w:noProof w:val="0"/>
          <w:color w:val="000000"/>
          <w:position w:val="0"/>
          <w:sz w:val="24"/>
          <w:u w:val="none"/>
          <w:vertAlign w:val="baseline"/>
        </w:rPr>
        <w:t>“Third-party service provider” means a person that is not a licensee and that contracts with a licensee to maintain, process or store or otherwise is permitted access to nonpublic information through its provision of services to the licensee.</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2021, c. 24, §1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24-A M.R.S. § 2263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24-A M.R.S. § 2263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4VM-XJM3-GXJ9-3521-00000-00">
    <vt:lpwstr>Doc::/shared/document|contextualFeaturePermID::1516831</vt:lpwstr>
  </property>
  <property fmtid="{D5CDD505-2E9C-101B-9397-08002B2CF9AE}" pid="5" name="UserPermID">
    <vt:lpwstr>urn:user:PA186163333</vt:lpwstr>
  </property>
</Properties>
</file>