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24-A M.R.S. § 2266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24-A. Maine Insurance Code  (Chs. 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24-B. Maine Insurance Data Security Act  (§§ 2261 — 2272)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2266. Notification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(WHOLE SECTION TEXT EFFECTIVE 1/1/22 by T. 24-A, 2272)</w:t>
      </w:r>
    </w:p>
    <w:p>
      <w:pPr>
        <w:keepNext w:val="0"/>
        <w:spacing w:before="120" w:after="0" w:line="300" w:lineRule="atLeast"/>
        <w:ind w:left="1440" w:right="0"/>
        <w:jc w:val="left"/>
      </w:pPr>
      <w:r>
        <w:rPr>
          <w:b/>
        </w:rPr>
        <w:t xml:space="preserve">1. Notification to superintendent.  </w:t>
      </w:r>
      <w:bookmarkStart w:id="1" w:name="Bookmark__1"/>
      <w:bookmarkEnd w:id="1"/>
      <w:r>
        <w:rPr>
          <w:rFonts w:ascii="times" w:eastAsia="times" w:hAnsi="times" w:cs="times"/>
          <w:b w:val="0"/>
          <w:i w:val="0"/>
          <w:strike w:val="0"/>
          <w:noProof w:val="0"/>
          <w:color w:val="000000"/>
          <w:position w:val="0"/>
          <w:sz w:val="24"/>
          <w:u w:val="none"/>
          <w:vertAlign w:val="baseline"/>
        </w:rPr>
        <w:t xml:space="preserve">Notwithstanding Title 10, chapter 210-B, a licensee shall notify the superintendent as promptly as possible but in no event later than 3 business days from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if:</w:t>
      </w:r>
    </w:p>
    <w:p>
      <w:pPr>
        <w:keepNext w:val="0"/>
        <w:spacing w:before="120" w:after="0" w:line="300" w:lineRule="atLeast"/>
        <w:ind w:left="180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This State is the licensee’s state of domicile, in the case of an insurance carrier, or this State is the licensee’s home state, as that term is defined in section 1420-A, subsection 2, in the case of an insurance producer; or</w:t>
      </w:r>
    </w:p>
    <w:p>
      <w:pPr>
        <w:keepNext w:val="0"/>
        <w:spacing w:before="120" w:after="0" w:line="300" w:lineRule="atLeast"/>
        <w:ind w:left="180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involved concerns 250 or more consumers residing in this State and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 either of the following:</w:t>
      </w:r>
    </w:p>
    <w:p>
      <w:pPr>
        <w:keepNext w:val="0"/>
        <w:spacing w:before="120" w:after="0" w:line="300" w:lineRule="atLeast"/>
        <w:ind w:left="2520" w:right="0"/>
        <w:jc w:val="left"/>
      </w:pPr>
      <w:r>
        <w:rPr>
          <w:b/>
        </w:rPr>
        <w:t xml:space="preserve">(1)  </w:t>
      </w:r>
      <w:bookmarkStart w:id="4" w:name="Bookmark__1_b_1"/>
      <w:bookmarkEnd w:id="4"/>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affecting the licensee of which notice is required to be provided to any government body, self-regulatory organization or other supervisory body pursuant to any state or federal law; or </w:t>
      </w:r>
    </w:p>
    <w:p>
      <w:pPr>
        <w:keepNext w:val="0"/>
        <w:spacing w:before="120" w:after="0" w:line="300" w:lineRule="atLeast"/>
        <w:ind w:left="2520" w:right="0"/>
        <w:jc w:val="left"/>
      </w:pPr>
      <w:r>
        <w:rPr>
          <w:b/>
        </w:rPr>
        <w:t xml:space="preserve">(2)  </w:t>
      </w:r>
      <w:bookmarkStart w:id="5" w:name="Bookmark__1_b_2"/>
      <w:bookmarkEnd w:id="5"/>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 </w:t>
      </w:r>
    </w:p>
    <w:p>
      <w:pPr>
        <w:keepNext w:val="0"/>
        <w:spacing w:before="120" w:after="0" w:line="300" w:lineRule="atLeast"/>
        <w:ind w:left="2880" w:right="0"/>
        <w:jc w:val="left"/>
      </w:pPr>
      <w:r>
        <w:rPr>
          <w:b/>
        </w:rPr>
        <w:t xml:space="preserve">(a)  </w:t>
      </w:r>
      <w:bookmarkStart w:id="6" w:name="Bookmark__1_b_2_a"/>
      <w:bookmarkEnd w:id="6"/>
      <w:r>
        <w:rPr>
          <w:rFonts w:ascii="times" w:eastAsia="times" w:hAnsi="times" w:cs="times"/>
          <w:b w:val="0"/>
          <w:i w:val="0"/>
          <w:strike w:val="0"/>
          <w:noProof w:val="0"/>
          <w:color w:val="000000"/>
          <w:position w:val="0"/>
          <w:sz w:val="24"/>
          <w:u w:val="none"/>
          <w:vertAlign w:val="baseline"/>
        </w:rPr>
        <w:t>Any consumer residing in this State; or</w:t>
      </w:r>
    </w:p>
    <w:p>
      <w:pPr>
        <w:keepNext w:val="0"/>
        <w:spacing w:before="120" w:after="0" w:line="300" w:lineRule="atLeast"/>
        <w:ind w:left="2880" w:right="0"/>
        <w:jc w:val="left"/>
      </w:pPr>
      <w:r>
        <w:rPr>
          <w:b/>
        </w:rPr>
        <w:t xml:space="preserve">(b)  </w:t>
      </w:r>
      <w:bookmarkStart w:id="7" w:name="Bookmark__1_b_2_b"/>
      <w:bookmarkEnd w:id="7"/>
      <w:r>
        <w:rPr>
          <w:rFonts w:ascii="times" w:eastAsia="times" w:hAnsi="times" w:cs="times"/>
          <w:b w:val="0"/>
          <w:i w:val="0"/>
          <w:strike w:val="0"/>
          <w:noProof w:val="0"/>
          <w:color w:val="000000"/>
          <w:position w:val="0"/>
          <w:sz w:val="24"/>
          <w:u w:val="none"/>
          <w:vertAlign w:val="baseline"/>
        </w:rPr>
        <w:t>Any material part of the normal operation of the licensee.</w:t>
      </w:r>
    </w:p>
    <w:p>
      <w:pPr>
        <w:keepNext w:val="0"/>
        <w:spacing w:before="120" w:after="0" w:line="300" w:lineRule="atLeast"/>
        <w:ind w:left="1440" w:right="0"/>
        <w:jc w:val="left"/>
      </w:pPr>
      <w:r>
        <w:rPr>
          <w:b/>
        </w:rPr>
        <w:t xml:space="preserve">2. Provision of information by licensee.  </w:t>
      </w:r>
      <w:bookmarkStart w:id="8" w:name="Bookmark__2"/>
      <w:bookmarkEnd w:id="8"/>
      <w:r>
        <w:rPr>
          <w:rFonts w:ascii="times" w:eastAsia="times" w:hAnsi="times" w:cs="times"/>
          <w:b w:val="0"/>
          <w:i w:val="0"/>
          <w:strike w:val="0"/>
          <w:noProof w:val="0"/>
          <w:color w:val="000000"/>
          <w:position w:val="0"/>
          <w:sz w:val="24"/>
          <w:u w:val="none"/>
          <w:vertAlign w:val="baseline"/>
        </w:rPr>
        <w:t xml:space="preserve">A licensee shall provide in electronic form as directed by the superintendent as much of the following information regarding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as possible:</w:t>
      </w:r>
    </w:p>
    <w:p>
      <w:pPr>
        <w:keepNext w:val="0"/>
        <w:spacing w:before="120" w:after="0" w:line="300" w:lineRule="atLeast"/>
        <w:ind w:left="1800" w:right="0"/>
        <w:jc w:val="left"/>
      </w:pPr>
      <w:r>
        <w:rPr>
          <w:b/>
        </w:rPr>
        <w:t xml:space="preserve">A.  </w:t>
      </w:r>
      <w:bookmarkStart w:id="9" w:name="Bookmark__2_a"/>
      <w:bookmarkEnd w:id="9"/>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B.  </w:t>
      </w:r>
      <w:bookmarkStart w:id="10" w:name="Bookmark__2_b"/>
      <w:bookmarkEnd w:id="10"/>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the specific roles and responsibilities of 3rd-party service providers, if any;</w:t>
      </w:r>
    </w:p>
    <w:p>
      <w:pPr>
        <w:keepNext w:val="0"/>
        <w:spacing w:before="120" w:after="0" w:line="300" w:lineRule="atLeast"/>
        <w:ind w:left="1800" w:right="0"/>
        <w:jc w:val="left"/>
      </w:pPr>
      <w:r>
        <w:rPr>
          <w:b/>
        </w:rPr>
        <w:t xml:space="preserve">C.  </w:t>
      </w:r>
      <w:bookmarkStart w:id="11" w:name="Bookmark__2_c"/>
      <w:bookmarkEnd w:id="11"/>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800" w:right="0"/>
        <w:jc w:val="left"/>
      </w:pPr>
      <w:r>
        <w:rPr>
          <w:b/>
        </w:rPr>
        <w:t xml:space="preserve">D.  </w:t>
      </w:r>
      <w:bookmarkStart w:id="12" w:name="Bookmark__2_d"/>
      <w:bookmarkEnd w:id="12"/>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800" w:right="0"/>
        <w:jc w:val="left"/>
      </w:pPr>
      <w:r>
        <w:rPr>
          <w:b/>
        </w:rPr>
        <w:t xml:space="preserve">E.  </w:t>
      </w:r>
      <w:bookmarkStart w:id="13" w:name="Bookmark__2_e"/>
      <w:bookmarkEnd w:id="13"/>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F.  </w:t>
      </w:r>
      <w:bookmarkStart w:id="14" w:name="Bookmark__2_f"/>
      <w:bookmarkEnd w:id="14"/>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the report was filed or the notification was provided;</w:t>
      </w:r>
    </w:p>
    <w:p>
      <w:pPr>
        <w:keepNext w:val="0"/>
        <w:spacing w:before="120" w:after="0" w:line="300" w:lineRule="atLeast"/>
        <w:ind w:left="1800" w:right="0"/>
        <w:jc w:val="left"/>
      </w:pPr>
      <w:r>
        <w:rPr>
          <w:b/>
        </w:rPr>
        <w:t xml:space="preserve">G.  </w:t>
      </w:r>
      <w:bookmarkStart w:id="15" w:name="Bookmark__2_g"/>
      <w:bookmarkEnd w:id="15"/>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For purposes of this subsection, “specific types of information” includes, but is not limited to, medical information, financial information and information allowing identification of a consumer;</w:t>
      </w:r>
    </w:p>
    <w:p>
      <w:pPr>
        <w:keepNext w:val="0"/>
        <w:spacing w:before="120" w:after="0" w:line="300" w:lineRule="atLeast"/>
        <w:ind w:left="1800" w:right="0"/>
        <w:jc w:val="left"/>
      </w:pPr>
      <w:r>
        <w:rPr>
          <w:b/>
        </w:rPr>
        <w:t xml:space="preserve">H.  </w:t>
      </w:r>
      <w:bookmarkStart w:id="16" w:name="Bookmark__2_h"/>
      <w:bookmarkEnd w:id="16"/>
      <w:r>
        <w:rPr>
          <w:rFonts w:ascii="times" w:eastAsia="times" w:hAnsi="times" w:cs="times"/>
          <w:b w:val="0"/>
          <w:i w:val="0"/>
          <w:strike w:val="0"/>
          <w:noProof w:val="0"/>
          <w:color w:val="000000"/>
          <w:position w:val="0"/>
          <w:sz w:val="24"/>
          <w:u w:val="none"/>
          <w:vertAlign w:val="baseline"/>
        </w:rPr>
        <w:t xml:space="preserve">The period of time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I.  </w:t>
      </w:r>
      <w:bookmarkStart w:id="17" w:name="Bookmark__2_i"/>
      <w:bookmarkEnd w:id="17"/>
      <w:r>
        <w:rPr>
          <w:rFonts w:ascii="times" w:eastAsia="times" w:hAnsi="times" w:cs="times"/>
          <w:b w:val="0"/>
          <w:i w:val="0"/>
          <w:strike w:val="0"/>
          <w:noProof w:val="0"/>
          <w:color w:val="000000"/>
          <w:position w:val="0"/>
          <w:sz w:val="24"/>
          <w:u w:val="none"/>
          <w:vertAlign w:val="baseline"/>
        </w:rPr>
        <w:t xml:space="preserve">The total number of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its best estimate in the notification provided pursuant to subsection 1 to the superintendent and update this estimate with each subsequent report to the superintendent pursuant to this section;</w:t>
      </w:r>
    </w:p>
    <w:p>
      <w:pPr>
        <w:keepNext w:val="0"/>
        <w:spacing w:before="120" w:after="0" w:line="300" w:lineRule="atLeast"/>
        <w:ind w:left="1800" w:right="0"/>
        <w:jc w:val="left"/>
      </w:pPr>
      <w:r>
        <w:rPr>
          <w:b/>
        </w:rPr>
        <w:t xml:space="preserve">J.  </w:t>
      </w:r>
      <w:bookmarkStart w:id="18" w:name="Bookmark__2_j"/>
      <w:bookmarkEnd w:id="18"/>
      <w:r>
        <w:rPr>
          <w:rFonts w:ascii="times" w:eastAsia="times" w:hAnsi="times" w:cs="times"/>
          <w:b w:val="0"/>
          <w:i w:val="0"/>
          <w:strike w:val="0"/>
          <w:noProof w:val="0"/>
          <w:color w:val="000000"/>
          <w:position w:val="0"/>
          <w:sz w:val="24"/>
          <w:u w:val="none"/>
          <w:vertAlign w:val="baseline"/>
        </w:rPr>
        <w:t>The results of any review conducted by or for the licensee identifying a lapse in either automated controls or internal procedures or confirming that all automated controls or internal procedures were followed;</w:t>
      </w:r>
    </w:p>
    <w:p>
      <w:pPr>
        <w:keepNext w:val="0"/>
        <w:spacing w:before="120" w:after="0" w:line="300" w:lineRule="atLeast"/>
        <w:ind w:left="1800" w:right="0"/>
        <w:jc w:val="left"/>
      </w:pPr>
      <w:r>
        <w:rPr>
          <w:b/>
        </w:rPr>
        <w:t xml:space="preserve">K.  </w:t>
      </w:r>
      <w:bookmarkStart w:id="19" w:name="Bookmark__2_k"/>
      <w:bookmarkEnd w:id="19"/>
      <w:r>
        <w:rPr>
          <w:rFonts w:ascii="times" w:eastAsia="times" w:hAnsi="times" w:cs="times"/>
          <w:b w:val="0"/>
          <w:i w:val="0"/>
          <w:strike w:val="0"/>
          <w:noProof w:val="0"/>
          <w:color w:val="000000"/>
          <w:position w:val="0"/>
          <w:sz w:val="24"/>
          <w:u w:val="none"/>
          <w:vertAlign w:val="baseline"/>
        </w:rPr>
        <w:t xml:space="preserve">A description of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800" w:right="0"/>
        <w:jc w:val="left"/>
      </w:pPr>
      <w:r>
        <w:rPr>
          <w:b/>
        </w:rPr>
        <w:t xml:space="preserve">L.  </w:t>
      </w:r>
      <w:bookmarkStart w:id="20" w:name="Bookmark__2_l"/>
      <w:bookmarkEnd w:id="20"/>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800" w:right="0"/>
        <w:jc w:val="left"/>
      </w:pPr>
      <w:r>
        <w:rPr>
          <w:b/>
        </w:rPr>
        <w:t xml:space="preserve">M.  </w:t>
      </w:r>
      <w:bookmarkStart w:id="21" w:name="Bookmark__2_m"/>
      <w:bookmarkEnd w:id="21"/>
      <w:r>
        <w:rPr>
          <w:rFonts w:ascii="times" w:eastAsia="times" w:hAnsi="times" w:cs="times"/>
          <w:b w:val="0"/>
          <w:i w:val="0"/>
          <w:strike w:val="0"/>
          <w:noProof w:val="0"/>
          <w:color w:val="000000"/>
          <w:position w:val="0"/>
          <w:sz w:val="24"/>
          <w:u w:val="none"/>
          <w:vertAlign w:val="baseline"/>
        </w:rPr>
        <w:t xml:space="preserve">The name and contact information of a person who is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The licensee has a continuing obligation to update and supplement initial and subsequent notifications to the superintendent concerning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t>
      </w:r>
    </w:p>
    <w:p>
      <w:pPr>
        <w:keepNext w:val="0"/>
        <w:spacing w:before="120" w:after="0" w:line="300" w:lineRule="atLeast"/>
        <w:ind w:left="1440" w:right="0"/>
        <w:jc w:val="left"/>
      </w:pPr>
      <w:r>
        <w:rPr>
          <w:b/>
        </w:rPr>
        <w:t xml:space="preserve">3. Notification to consumers.  </w:t>
      </w:r>
      <w:bookmarkStart w:id="22" w:name="Bookmark__3"/>
      <w:bookmarkEnd w:id="22"/>
      <w:r>
        <w:rPr>
          <w:rFonts w:ascii="times" w:eastAsia="times" w:hAnsi="times" w:cs="times"/>
          <w:b w:val="0"/>
          <w:i w:val="0"/>
          <w:strike w:val="0"/>
          <w:noProof w:val="0"/>
          <w:color w:val="000000"/>
          <w:position w:val="0"/>
          <w:sz w:val="24"/>
          <w:u w:val="none"/>
          <w:vertAlign w:val="baseline"/>
        </w:rPr>
        <w:t>A licensee shall comply with Title 10, chapter 210-B, as applicable, and, when required to notify the superintendent under subsection 1, provide to the superintendent a copy of the notice sent to consumers pursuant to Title 10, chapter 210-B.</w:t>
      </w:r>
    </w:p>
    <w:p>
      <w:pPr>
        <w:keepNext w:val="0"/>
        <w:spacing w:before="120" w:after="0" w:line="300" w:lineRule="atLeast"/>
        <w:ind w:left="1440" w:right="0"/>
        <w:jc w:val="left"/>
      </w:pPr>
      <w:r>
        <w:rPr>
          <w:b/>
        </w:rPr>
        <w:t xml:space="preserve">4. Notice regarding cybersecurity events of 3rd-party service providers.  </w:t>
      </w:r>
      <w:bookmarkStart w:id="23" w:name="Bookmark__4"/>
      <w:bookmarkEnd w:id="23"/>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an information system maintained by a 3rd-party service provider of which the licensee has become aware:</w:t>
      </w:r>
    </w:p>
    <w:p>
      <w:pPr>
        <w:keepNext w:val="0"/>
        <w:spacing w:before="120" w:after="0" w:line="300" w:lineRule="atLeast"/>
        <w:ind w:left="1800" w:right="0"/>
        <w:jc w:val="left"/>
      </w:pPr>
      <w:r>
        <w:rPr>
          <w:b/>
        </w:rPr>
        <w:t xml:space="preserve">A.  </w:t>
      </w:r>
      <w:bookmarkStart w:id="24" w:name="Bookmark__4_a"/>
      <w:bookmarkEnd w:id="24"/>
      <w:r>
        <w:rPr>
          <w:rFonts w:ascii="times" w:eastAsia="times" w:hAnsi="times" w:cs="times"/>
          <w:b w:val="0"/>
          <w:i w:val="0"/>
          <w:strike w:val="0"/>
          <w:noProof w:val="0"/>
          <w:color w:val="000000"/>
          <w:position w:val="0"/>
          <w:sz w:val="24"/>
          <w:u w:val="none"/>
          <w:vertAlign w:val="baseline"/>
        </w:rPr>
        <w:t xml:space="preserve">The licensee shall respond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as described under subsection 1; and</w:t>
      </w:r>
    </w:p>
    <w:p>
      <w:pPr>
        <w:keepNext w:val="0"/>
        <w:spacing w:before="120" w:after="0" w:line="300" w:lineRule="atLeast"/>
        <w:ind w:left="1800" w:right="0"/>
        <w:jc w:val="left"/>
      </w:pPr>
      <w:r>
        <w:rPr>
          <w:b/>
        </w:rPr>
        <w:t xml:space="preserve">B.  </w:t>
      </w:r>
      <w:bookmarkStart w:id="25" w:name="Bookmark__4_b"/>
      <w:bookmarkEnd w:id="25"/>
      <w:r>
        <w:rPr>
          <w:rFonts w:ascii="times" w:eastAsia="times" w:hAnsi="times" w:cs="times"/>
          <w:b w:val="0"/>
          <w:i w:val="0"/>
          <w:strike w:val="0"/>
          <w:noProof w:val="0"/>
          <w:color w:val="000000"/>
          <w:position w:val="0"/>
          <w:sz w:val="24"/>
          <w:u w:val="none"/>
          <w:vertAlign w:val="baseline"/>
        </w:rPr>
        <w:t xml:space="preserve">The computation of the licensee’s deadlines for notification under this section begins on the day after the 3rd-party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day after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Nothing in this chapter may be construed to prevent or abrogate an agreement between a licensee and another licensee, a 3rd-party service provider or any other party to fulfill any of the investigation requirements imposed under section 2265 or notice requirements imposed under this subsection. </w:t>
      </w:r>
    </w:p>
    <w:p>
      <w:pPr>
        <w:keepNext w:val="0"/>
        <w:spacing w:before="120" w:after="0" w:line="300" w:lineRule="atLeast"/>
        <w:ind w:left="1440" w:right="0"/>
        <w:jc w:val="left"/>
      </w:pPr>
      <w:r>
        <w:rPr>
          <w:b/>
        </w:rPr>
        <w:t xml:space="preserve">5. Notice regarding cybersecurity events of reinsurers to insurers.  </w:t>
      </w:r>
      <w:bookmarkStart w:id="26" w:name="Bookmark__5"/>
      <w:bookmarkEnd w:id="26"/>
      <w:r>
        <w:rPr>
          <w:rFonts w:ascii="times" w:eastAsia="times" w:hAnsi="times" w:cs="times"/>
          <w:b w:val="0"/>
          <w:i w:val="0"/>
          <w:strike w:val="0"/>
          <w:noProof w:val="0"/>
          <w:color w:val="000000"/>
          <w:position w:val="0"/>
          <w:sz w:val="24"/>
          <w:u w:val="none"/>
          <w:vertAlign w:val="baseline"/>
        </w:rPr>
        <w:t xml:space="preserve">This subsection governs notice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of reinsurers to insurers.</w:t>
      </w:r>
    </w:p>
    <w:p>
      <w:pPr>
        <w:keepNext w:val="0"/>
        <w:spacing w:before="120" w:after="0" w:line="300" w:lineRule="atLeast"/>
        <w:ind w:left="1800" w:right="0"/>
        <w:jc w:val="left"/>
      </w:pPr>
      <w:r>
        <w:rPr>
          <w:b/>
        </w:rPr>
        <w:t xml:space="preserve">A.  </w:t>
      </w:r>
      <w:bookmarkStart w:id="27" w:name="Bookmark__5_a"/>
      <w:bookmarkEnd w:id="27"/>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a licensee that is acting as an assuming insurer or is in the possession, custody or control of a licensee that is acting as an assuming insurer and that does not have a direct contractual relationship with the affected consumers:</w:t>
      </w:r>
    </w:p>
    <w:p>
      <w:pPr>
        <w:keepNext w:val="0"/>
        <w:spacing w:before="120" w:after="0" w:line="300" w:lineRule="atLeast"/>
        <w:ind w:left="2520" w:right="0"/>
        <w:jc w:val="left"/>
      </w:pPr>
      <w:r>
        <w:rPr>
          <w:b/>
        </w:rPr>
        <w:t xml:space="preserve">(1)  </w:t>
      </w:r>
      <w:bookmarkStart w:id="28" w:name="Bookmark__5_a_1"/>
      <w:bookmarkEnd w:id="28"/>
      <w:r>
        <w:rPr>
          <w:rFonts w:ascii="times" w:eastAsia="times" w:hAnsi="times" w:cs="times"/>
          <w:b w:val="0"/>
          <w:i w:val="0"/>
          <w:strike w:val="0"/>
          <w:noProof w:val="0"/>
          <w:color w:val="000000"/>
          <w:position w:val="0"/>
          <w:sz w:val="24"/>
          <w:u w:val="none"/>
          <w:vertAlign w:val="baseline"/>
        </w:rPr>
        <w:t xml:space="preserve">The assuming insurer shall notify its affected ceding insurers and the superintendent of its state of domicile within 3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and </w:t>
      </w:r>
    </w:p>
    <w:p>
      <w:pPr>
        <w:keepNext w:val="0"/>
        <w:spacing w:before="120" w:after="0" w:line="300" w:lineRule="atLeast"/>
        <w:ind w:left="2520" w:right="0"/>
        <w:jc w:val="left"/>
      </w:pPr>
      <w:r>
        <w:rPr>
          <w:b/>
        </w:rPr>
        <w:t xml:space="preserve">(2)  </w:t>
      </w:r>
      <w:bookmarkStart w:id="29" w:name="Bookmark__5_a_2"/>
      <w:bookmarkEnd w:id="29"/>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the laws of this State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 </w:t>
      </w:r>
    </w:p>
    <w:p>
      <w:pPr>
        <w:keepNext w:val="0"/>
        <w:spacing w:before="120" w:after="0" w:line="300" w:lineRule="atLeast"/>
        <w:ind w:left="1800" w:right="0"/>
        <w:jc w:val="left"/>
      </w:pPr>
      <w:r>
        <w:rPr>
          <w:b/>
        </w:rPr>
        <w:t xml:space="preserve">B.  </w:t>
      </w:r>
      <w:bookmarkStart w:id="30" w:name="Bookmark__5_b"/>
      <w:bookmarkEnd w:id="30"/>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3rd-party service provider of a licensee that is acting as an assuming insurer:</w:t>
      </w:r>
    </w:p>
    <w:p>
      <w:pPr>
        <w:keepNext w:val="0"/>
        <w:spacing w:before="120" w:after="0" w:line="300" w:lineRule="atLeast"/>
        <w:ind w:left="2520" w:right="0"/>
        <w:jc w:val="left"/>
      </w:pPr>
      <w:r>
        <w:rPr>
          <w:b/>
        </w:rPr>
        <w:t xml:space="preserve">(1)  </w:t>
      </w:r>
      <w:bookmarkStart w:id="31" w:name="Bookmark__5_b_1"/>
      <w:bookmarkEnd w:id="31"/>
      <w:r>
        <w:rPr>
          <w:rFonts w:ascii="times" w:eastAsia="times" w:hAnsi="times" w:cs="times"/>
          <w:b w:val="0"/>
          <w:i w:val="0"/>
          <w:strike w:val="0"/>
          <w:noProof w:val="0"/>
          <w:color w:val="000000"/>
          <w:position w:val="0"/>
          <w:sz w:val="24"/>
          <w:u w:val="none"/>
          <w:vertAlign w:val="baseline"/>
        </w:rPr>
        <w:t xml:space="preserve">The assuming insurer shall notify its affected ceding insurers and the superintendent of its state of domicile within 3 business days of receiving notice from its 3rd-party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and </w:t>
      </w:r>
    </w:p>
    <w:p>
      <w:pPr>
        <w:keepNext w:val="0"/>
        <w:spacing w:before="120" w:after="0" w:line="300" w:lineRule="atLeast"/>
        <w:ind w:left="2520" w:right="0"/>
        <w:jc w:val="left"/>
      </w:pPr>
      <w:r>
        <w:rPr>
          <w:b/>
        </w:rPr>
        <w:t xml:space="preserve">(2)  </w:t>
      </w:r>
      <w:bookmarkStart w:id="32" w:name="Bookmark__5_b_2"/>
      <w:bookmarkEnd w:id="32"/>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the laws of this State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 </w:t>
      </w:r>
    </w:p>
    <w:p>
      <w:pPr>
        <w:keepNext w:val="0"/>
        <w:spacing w:before="120" w:after="0" w:line="300" w:lineRule="atLeast"/>
        <w:ind w:left="1440" w:right="0"/>
        <w:jc w:val="left"/>
      </w:pPr>
      <w:r>
        <w:rPr>
          <w:b/>
        </w:rPr>
        <w:t xml:space="preserve">6. Notice regarding cybersecurity events of insurance carriers to producers of record.  </w:t>
      </w:r>
      <w:bookmarkStart w:id="33" w:name="Bookmark__6"/>
      <w:bookmarkEnd w:id="33"/>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insurance carrier or its 3rd-party service provider, and for which information a consumer accessed the insurance carrier’s services through an independent insurance producer, the insurance carrier shall notify the producers of record of all affected consumers no later than the time consumers must be notified under subsection 3 or as directed by the superintendent, except that the insurance carrier is excused from this obligation for those instances in which it does not have the current producer of record information for any individual consumer.</w:t>
      </w:r>
    </w:p>
    <w:p>
      <w:pPr>
        <w:keepNext/>
        <w:spacing w:before="240" w:after="0" w:line="340" w:lineRule="atLeast"/>
        <w:ind w:left="0" w:right="0" w:firstLine="0"/>
        <w:jc w:val="left"/>
      </w:pPr>
      <w:bookmarkStart w:id="34" w:name="History"/>
      <w:bookmarkEnd w:id="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2021, c. 24, §1 (NEW)..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24-A M.R.S. § 2266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24-A M.R.S. § 2266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222378791</vt:lpwstr>
  </property>
  <property fmtid="{D5CDD505-2E9C-101B-9397-08002B2CF9AE}" pid="3" name="LADocCount">
    <vt:lpwstr>1</vt:lpwstr>
  </property>
  <property fmtid="{D5CDD505-2E9C-101B-9397-08002B2CF9AE}" pid="4" name="LADocumentID:urn:contentItem:64VM-XJM3-GXJ9-352B-00000-00">
    <vt:lpwstr>Doc::/shared/document|contextualFeaturePermID::1516831</vt:lpwstr>
  </property>
  <property fmtid="{D5CDD505-2E9C-101B-9397-08002B2CF9AE}" pid="5" name="UserPermID">
    <vt:lpwstr>urn:user:PA186163333</vt:lpwstr>
  </property>
</Properties>
</file>