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Public Safety Code Ann. § 1-309.1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2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Safety (Titles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 Definitions; General Provisions. (Subts.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9-1-1 Emergency Telephone System. (§§ 1-301 — 1-315)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1-309.1.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standards for public safety answering points.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In consultation with the Maryland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Council established under § 9-2901 of the State Government Article, the Board shall establish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for public safety answering points based on national industry and 9-1-1 system trade association best practices, including standards concerning response protocols in the event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attack on a public safety answering point.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At least once each year on a date determined by the Board and in advance of submitting a request for or receiving any money from the 9-1-1 Trust Fund, the director of each public safety answering point shall examine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 the public safety answering point to determine whether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defenses employed by the public safety answering point satisfy the standards established by the Board under subsection (a) of this section and submit to the Board a report detailing the results of that exercise.</w:t>
      </w:r>
    </w:p>
    <w:p>
      <w:pPr>
        <w:spacing w:before="120" w:line="240" w:lineRule="atLeast"/>
        <w:ind w:left="720"/>
      </w:pPr>
      <w:r>
        <w:rPr>
          <w:b/>
        </w:rPr>
        <w:t xml:space="preserve">(c)  </w:t>
      </w:r>
      <w:bookmarkStart w:id="3" w:name="Bookmark__c"/>
      <w:bookmarkEnd w:id="3"/>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If a director of a public safety answering point fails to submit a report required under subsection (b) of this section, the Board may not authorize any money from the 9-1-1 Trust Fund to be paid to a county serviced by the public safety answering point until that report has been submitted.</w:t>
      </w:r>
    </w:p>
    <w:p>
      <w:pPr>
        <w:spacing w:before="120" w:line="240" w:lineRule="atLeast"/>
        <w:ind w:left="1080"/>
      </w:pPr>
      <w:r>
        <w:rPr>
          <w:b/>
        </w:rPr>
        <w:t xml:space="preserve">(2)  </w:t>
      </w:r>
      <w:bookmarkStart w:id="5" w:name="Bookmark__c_2"/>
      <w:bookmarkEnd w:id="5"/>
    </w:p>
    <w:p>
      <w:pPr>
        <w:keepNext w:val="0"/>
        <w:spacing w:before="120" w:after="0" w:line="300" w:lineRule="atLeast"/>
        <w:ind w:left="1440" w:right="0"/>
        <w:jc w:val="left"/>
      </w:pPr>
      <w:r>
        <w:rPr>
          <w:b/>
        </w:rPr>
        <w:t xml:space="preserve">(i)  </w:t>
      </w:r>
      <w:bookmarkStart w:id="6" w:name="Bookmark__c_2_i"/>
      <w:bookmarkEnd w:id="6"/>
      <w:r>
        <w:rPr>
          <w:rFonts w:ascii="times" w:eastAsia="times" w:hAnsi="times" w:cs="times"/>
          <w:b w:val="0"/>
          <w:i w:val="0"/>
          <w:strike w:val="0"/>
          <w:noProof w:val="0"/>
          <w:color w:val="000000"/>
          <w:position w:val="0"/>
          <w:sz w:val="24"/>
          <w:u w:val="none"/>
          <w:vertAlign w:val="baseline"/>
        </w:rPr>
        <w:t xml:space="preserve">If a public safety answering point fails to meet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established by this section during the annual examination required under subsection (b) of this section, the Board shall work with the public safety answering point to develop an aggressive, consensus remediation plan and implementation timeline.</w:t>
      </w:r>
    </w:p>
    <w:p>
      <w:pPr>
        <w:keepNext w:val="0"/>
        <w:spacing w:before="120" w:after="0" w:line="300" w:lineRule="atLeast"/>
        <w:ind w:left="1440" w:right="0"/>
        <w:jc w:val="left"/>
      </w:pPr>
      <w:r>
        <w:rPr>
          <w:b/>
        </w:rPr>
        <w:t xml:space="preserve">(ii)  </w:t>
      </w:r>
      <w:bookmarkStart w:id="7" w:name="Bookmark__c_2_ii"/>
      <w:bookmarkEnd w:id="7"/>
      <w:r>
        <w:rPr>
          <w:rFonts w:ascii="times" w:eastAsia="times" w:hAnsi="times" w:cs="times"/>
          <w:b w:val="0"/>
          <w:i w:val="0"/>
          <w:strike w:val="0"/>
          <w:noProof w:val="0"/>
          <w:color w:val="000000"/>
          <w:position w:val="0"/>
          <w:sz w:val="24"/>
          <w:u w:val="none"/>
          <w:vertAlign w:val="baseline"/>
        </w:rPr>
        <w:t>If a public safety answering point fails to comply with a remediation plan developed under this paragraph, the Board may refuse to authorize money from the 9-1-1 Trust Fund to be paid to a county serviced by the public safety answering point for any new, noncybersecurity purpose.</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chs. 301, 302; 2022, ch. 349,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Public Safety Code Ann. § 1-309.1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Public Safety Code Ann. § 1-309.1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61B-DHB3-GXF6-81FD-00000-00">
    <vt:lpwstr>Doc::/shared/document|contextualFeaturePermID::1516831</vt:lpwstr>
  </property>
  <property fmtid="{D5CDD505-2E9C-101B-9397-08002B2CF9AE}" pid="5" name="UserPermID">
    <vt:lpwstr>urn:user:PA186163333</vt:lpwstr>
  </property>
</Properties>
</file>