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325E.64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Regulations, Consumer Protection (Chs. 324 — 338)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325E. Trade Practices (§§ 325E.001 — 325E.80)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Access Devices (§ 325E.64)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325E.64 ACCESS DEVICES;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OF SECURITY</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Subdivision 1.  Definitions.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For purposes of this section, the terms defined in this subdivision have the meanings given them.</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“Access device” means a card issued by a financial institution that contains a magnetic stripe, microprocessor chip, or other means for storage of information which includes, but is not limited to, a credit card, debit card, or stored value card.</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has the meaning given in section 325E.61, subdivision 1, paragraph (d).</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“Card security code” means the three-digit or four-digit value printed on an access device or contained in the microprocessor chip or magnetic stripe of an access device which is used to validate access device information during the authorization process.</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“Financial institution” means any office of a bank, bank and trust, trust company with banking powers, savings bank, industrial loan company, savings association, credit union, or regulated lender.</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 xml:space="preserve">“Microprocessor chip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contained in the microprocessor chip of an access device.</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 xml:space="preserve">“Magnetic stripe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contained in the magnetic stripe of an access device.</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“PIN” means a personal identification code that identifies the cardholder.</w:t>
      </w:r>
    </w:p>
    <w:p>
      <w:pPr>
        <w:keepNext w:val="0"/>
        <w:spacing w:before="120" w:after="0" w:line="300" w:lineRule="atLeast"/>
        <w:ind w:left="1080" w:right="0"/>
        <w:jc w:val="left"/>
      </w:pPr>
      <w:r>
        <w:rPr>
          <w:b/>
        </w:rPr>
        <w:t xml:space="preserve">(i)  </w:t>
      </w:r>
      <w:bookmarkStart w:id="10" w:name="Bookmark__1_i"/>
      <w:bookmarkEnd w:id="10"/>
      <w:r>
        <w:rPr>
          <w:rFonts w:ascii="times" w:eastAsia="times" w:hAnsi="times" w:cs="times"/>
          <w:b w:val="0"/>
          <w:i w:val="0"/>
          <w:strike w:val="0"/>
          <w:noProof w:val="0"/>
          <w:color w:val="000000"/>
          <w:position w:val="0"/>
          <w:sz w:val="24"/>
          <w:u w:val="none"/>
          <w:vertAlign w:val="baseline"/>
        </w:rPr>
        <w:t xml:space="preserve">“PIN verification code number” means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used to verify cardholder identity when a PIN is used in a transaction.</w:t>
      </w:r>
    </w:p>
    <w:p>
      <w:pPr>
        <w:keepNext w:val="0"/>
        <w:spacing w:before="120" w:after="0" w:line="300" w:lineRule="atLeast"/>
        <w:ind w:left="1080" w:right="0"/>
        <w:jc w:val="left"/>
      </w:pPr>
      <w:r>
        <w:rPr>
          <w:b/>
        </w:rPr>
        <w:t xml:space="preserve">(j)  </w:t>
      </w:r>
      <w:bookmarkStart w:id="11" w:name="Bookmark__1_j"/>
      <w:bookmarkEnd w:id="11"/>
      <w:r>
        <w:rPr>
          <w:rFonts w:ascii="times" w:eastAsia="times" w:hAnsi="times" w:cs="times"/>
          <w:b w:val="0"/>
          <w:i w:val="0"/>
          <w:strike w:val="0"/>
          <w:noProof w:val="0"/>
          <w:color w:val="000000"/>
          <w:position w:val="0"/>
          <w:sz w:val="24"/>
          <w:u w:val="none"/>
          <w:vertAlign w:val="baseline"/>
        </w:rPr>
        <w:t xml:space="preserve">“Service provider” means a person or entity that stores, processes, or transmits access device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on behalf of another person or entity.</w:t>
      </w:r>
    </w:p>
    <w:p>
      <w:pPr>
        <w:keepNext w:val="0"/>
        <w:spacing w:before="120" w:after="0" w:line="300" w:lineRule="atLeast"/>
        <w:ind w:left="720" w:right="0"/>
        <w:jc w:val="left"/>
      </w:pPr>
      <w:r>
        <w:rPr>
          <w:b/>
        </w:rPr>
        <w:t xml:space="preserve">Subd. 2.  Security or identification information; retention prohibited. —  </w:t>
      </w:r>
      <w:bookmarkStart w:id="12" w:name="Bookmark__2"/>
      <w:bookmarkEnd w:id="12"/>
      <w:r>
        <w:rPr>
          <w:rFonts w:ascii="times" w:eastAsia="times" w:hAnsi="times" w:cs="times"/>
          <w:b w:val="0"/>
          <w:i w:val="0"/>
          <w:strike w:val="0"/>
          <w:noProof w:val="0"/>
          <w:color w:val="000000"/>
          <w:position w:val="0"/>
          <w:sz w:val="24"/>
          <w:u w:val="none"/>
          <w:vertAlign w:val="baseline"/>
        </w:rPr>
        <w:t xml:space="preserve">No person or entity conducting business in Minnesota that accepts an access device in connection with a transaction shall retain the card security code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PIN verification code number, or the full contents of any track of magnetic stripe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subsequent to the authorization of the transaction or in the case of a PIN debit transaction, subsequent to 48 hours after authorization of the transaction. A person or entity is in violation of this section if its service provider retains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subsequent to the authorization of the transaction or in the case of a PIN debit transaction, subsequent to 48 hours after authorization of the transaction.</w:t>
      </w:r>
    </w:p>
    <w:p>
      <w:pPr>
        <w:keepNext w:val="0"/>
        <w:spacing w:before="120" w:after="0" w:line="300" w:lineRule="atLeast"/>
        <w:ind w:left="720" w:right="0"/>
        <w:jc w:val="left"/>
      </w:pPr>
      <w:r>
        <w:rPr>
          <w:b/>
        </w:rPr>
        <w:t xml:space="preserve">Subd. 3.  Liability. —  </w:t>
      </w:r>
      <w:bookmarkStart w:id="13" w:name="Bookmark__3"/>
      <w:bookmarkEnd w:id="13"/>
      <w:r>
        <w:rPr>
          <w:rFonts w:ascii="times" w:eastAsia="times" w:hAnsi="times" w:cs="times"/>
          <w:b w:val="0"/>
          <w:i w:val="0"/>
          <w:strike w:val="0"/>
          <w:noProof w:val="0"/>
          <w:color w:val="000000"/>
          <w:position w:val="0"/>
          <w:sz w:val="24"/>
          <w:u w:val="none"/>
          <w:vertAlign w:val="baseline"/>
        </w:rPr>
        <w:t xml:space="preserve">Whenever there is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of a person or entity that has violated this section, or that person’s or entity’s service provider, that person or entity shall reimburse the financial institution that issued any access devices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for the costs of reasonable actions undertaken by the financial institution as a result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order to protect the information of its cardholders or to continue to provide services to cardholders, including but not limited to, any cost incurred in connection with:</w:t>
      </w:r>
    </w:p>
    <w:p>
      <w:pPr>
        <w:keepNext w:val="0"/>
        <w:spacing w:before="120" w:after="0" w:line="300" w:lineRule="atLeast"/>
        <w:ind w:left="1080" w:right="0"/>
        <w:jc w:val="left"/>
      </w:pPr>
      <w:r>
        <w:rPr>
          <w:b/>
        </w:rPr>
        <w:t xml:space="preserve">(1)  </w:t>
      </w:r>
      <w:bookmarkStart w:id="14" w:name="Bookmark__3_1"/>
      <w:bookmarkEnd w:id="14"/>
      <w:r>
        <w:rPr>
          <w:rFonts w:ascii="times" w:eastAsia="times" w:hAnsi="times" w:cs="times"/>
          <w:b w:val="0"/>
          <w:i w:val="0"/>
          <w:strike w:val="0"/>
          <w:noProof w:val="0"/>
          <w:color w:val="000000"/>
          <w:position w:val="0"/>
          <w:sz w:val="24"/>
          <w:u w:val="none"/>
          <w:vertAlign w:val="baseline"/>
        </w:rPr>
        <w:t xml:space="preserve">the cancellation or reissuance of any access device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15" w:name="Bookmark__3_2"/>
      <w:bookmarkEnd w:id="15"/>
      <w:r>
        <w:rPr>
          <w:rFonts w:ascii="times" w:eastAsia="times" w:hAnsi="times" w:cs="times"/>
          <w:b w:val="0"/>
          <w:i w:val="0"/>
          <w:strike w:val="0"/>
          <w:noProof w:val="0"/>
          <w:color w:val="000000"/>
          <w:position w:val="0"/>
          <w:sz w:val="24"/>
          <w:u w:val="none"/>
          <w:vertAlign w:val="baseline"/>
        </w:rPr>
        <w:t xml:space="preserve">the closure of any deposit, transaction, share draft, or other accounts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any action to stop payments or block transactions with respect to the accounts;</w:t>
      </w:r>
    </w:p>
    <w:p>
      <w:pPr>
        <w:keepNext w:val="0"/>
        <w:spacing w:before="120" w:after="0" w:line="300" w:lineRule="atLeast"/>
        <w:ind w:left="1080" w:right="0"/>
        <w:jc w:val="left"/>
      </w:pPr>
      <w:r>
        <w:rPr>
          <w:b/>
        </w:rPr>
        <w:t xml:space="preserve">(3)  </w:t>
      </w:r>
      <w:bookmarkStart w:id="16" w:name="Bookmark__3_3"/>
      <w:bookmarkEnd w:id="16"/>
      <w:r>
        <w:rPr>
          <w:rFonts w:ascii="times" w:eastAsia="times" w:hAnsi="times" w:cs="times"/>
          <w:b w:val="0"/>
          <w:i w:val="0"/>
          <w:strike w:val="0"/>
          <w:noProof w:val="0"/>
          <w:color w:val="000000"/>
          <w:position w:val="0"/>
          <w:sz w:val="24"/>
          <w:u w:val="none"/>
          <w:vertAlign w:val="baseline"/>
        </w:rPr>
        <w:t xml:space="preserve">the opening or reopening of any deposit, transaction, share draft, or other accounts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17" w:name="Bookmark__3_4"/>
      <w:bookmarkEnd w:id="17"/>
      <w:r>
        <w:rPr>
          <w:rFonts w:ascii="times" w:eastAsia="times" w:hAnsi="times" w:cs="times"/>
          <w:b w:val="0"/>
          <w:i w:val="0"/>
          <w:strike w:val="0"/>
          <w:noProof w:val="0"/>
          <w:color w:val="000000"/>
          <w:position w:val="0"/>
          <w:sz w:val="24"/>
          <w:u w:val="none"/>
          <w:vertAlign w:val="baseline"/>
        </w:rPr>
        <w:t xml:space="preserve">any refund or credit made to a cardholder to cover the cost of any unauthorized transaction relating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and</w:t>
      </w:r>
    </w:p>
    <w:p>
      <w:pPr>
        <w:spacing w:before="120" w:line="240" w:lineRule="atLeast"/>
        <w:ind w:left="1080"/>
      </w:pPr>
      <w:r>
        <w:rPr>
          <w:b/>
        </w:rPr>
        <w:t xml:space="preserve">(5)  </w:t>
      </w:r>
      <w:bookmarkStart w:id="18" w:name="Bookmark__3_5"/>
      <w:bookmarkEnd w:id="18"/>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the notification of cardholders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The financial institution is also entitled to recover costs for damages paid by the financial institution to cardholders injured by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of a person or entity that has violated this section. Costs do not include any amounts recovered from a credit card company by a financial institution. The remedies under this subdivision are cumulative and do not restrict any other right or remedy otherwise available to the financial institution.</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 c 108 s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325E.64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325E.64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5DCP-CCJ1-DYB7-W411-00000-00">
    <vt:lpwstr>Doc::/shared/document|contextualFeaturePermID::1516831</vt:lpwstr>
  </property>
  <property fmtid="{D5CDD505-2E9C-101B-9397-08002B2CF9AE}" pid="5" name="UserPermID">
    <vt:lpwstr>urn:user:PA186163333</vt:lpwstr>
  </property>
</Properties>
</file>