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83-5-805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83. Insurance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Relative to Insurance and Insurance Companies (Arts.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Insurance Data Security Law (§§ 83-5-801 — 83-5-825)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83-5-805.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 the following terms shall have the following meanings:</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“Commissioner” means the Commissioner of Insurance.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“Consumer” means an individual, including, but not limited to, applicants, policyholders, insureds, beneficiaries, claimants and certificate holders, who is a resident of this state and whose nonpublic information is in a licensee’s possession, custody or control.</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or misuse of, an information system or nonpublic information stored on such information system. The term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“Department” means the Mississippi Insurance Department.</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as well as any specialized system such as industrial/process controls systems, telephone switching and private branch exchange systems, and environmental control systems.</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pursuant to the insurance laws of this state, but shall not include a purchasing group or a risk-retention group chartered and licensed in a state other than this state or a person who is acting as an assuming insurer that is domiciled in another state or jurisdiction.</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(2) of the following types of authentication factors:</w:t>
      </w:r>
    </w:p>
    <w:p>
      <w:pPr>
        <w:keepNext w:val="0"/>
        <w:spacing w:before="120" w:after="0" w:line="300" w:lineRule="atLeast"/>
        <w:ind w:left="1440" w:right="0"/>
        <w:jc w:val="left"/>
      </w:pPr>
      <w:r>
        <w:rPr>
          <w:b/>
        </w:rPr>
        <w:t xml:space="preserve">(i)  </w:t>
      </w:r>
      <w:bookmarkStart w:id="11" w:name="Bookmark__j_i"/>
      <w:bookmarkEnd w:id="11"/>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(ii)  </w:t>
      </w:r>
      <w:bookmarkStart w:id="12" w:name="Bookmark__j_ii"/>
      <w:bookmarkEnd w:id="12"/>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440" w:right="0"/>
        <w:jc w:val="left"/>
      </w:pPr>
      <w:r>
        <w:rPr>
          <w:b/>
        </w:rPr>
        <w:t xml:space="preserve">(iii)  </w:t>
      </w:r>
      <w:bookmarkStart w:id="13" w:name="Bookmark__j_iii"/>
      <w:bookmarkEnd w:id="13"/>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(k)  </w:t>
      </w:r>
      <w:bookmarkStart w:id="14" w:name="Bookmark__k"/>
      <w:bookmarkEnd w:id="14"/>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is:</w:t>
      </w:r>
    </w:p>
    <w:p>
      <w:pPr>
        <w:keepNext w:val="0"/>
        <w:spacing w:before="120" w:after="0" w:line="300" w:lineRule="atLeast"/>
        <w:ind w:left="1440" w:right="0"/>
        <w:jc w:val="left"/>
      </w:pPr>
      <w:r>
        <w:rPr>
          <w:b/>
        </w:rPr>
        <w:t xml:space="preserve">(i)  </w:t>
      </w:r>
      <w:bookmarkStart w:id="15" w:name="Bookmark__k_i"/>
      <w:bookmarkEnd w:id="15"/>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such consumer, in combination with any one or more of the following data elements:</w:t>
      </w:r>
    </w:p>
    <w:p>
      <w:pPr>
        <w:keepNext w:val="0"/>
        <w:spacing w:before="120" w:after="0" w:line="300" w:lineRule="atLeast"/>
        <w:ind w:left="1800" w:right="0"/>
        <w:jc w:val="left"/>
      </w:pPr>
      <w:r>
        <w:rPr>
          <w:b/>
        </w:rPr>
        <w:t xml:space="preserve">1.  </w:t>
      </w:r>
      <w:bookmarkStart w:id="16" w:name="Bookmark__k_i_1"/>
      <w:bookmarkEnd w:id="16"/>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2.  </w:t>
      </w:r>
      <w:bookmarkStart w:id="17" w:name="Bookmark__k_i_2"/>
      <w:bookmarkEnd w:id="17"/>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3.  </w:t>
      </w:r>
      <w:bookmarkStart w:id="18" w:name="Bookmark__k_i_3"/>
      <w:bookmarkEnd w:id="18"/>
      <w:r>
        <w:rPr>
          <w:rFonts w:ascii="times" w:eastAsia="times" w:hAnsi="times" w:cs="times"/>
          <w:b w:val="0"/>
          <w:i w:val="0"/>
          <w:strike w:val="0"/>
          <w:noProof w:val="0"/>
          <w:color w:val="000000"/>
          <w:position w:val="0"/>
          <w:sz w:val="24"/>
          <w:u w:val="none"/>
          <w:vertAlign w:val="baseline"/>
        </w:rPr>
        <w:t>Financial account number, credit or debit card number;</w:t>
      </w:r>
    </w:p>
    <w:p>
      <w:pPr>
        <w:keepNext w:val="0"/>
        <w:spacing w:before="120" w:after="0" w:line="300" w:lineRule="atLeast"/>
        <w:ind w:left="1800" w:right="0"/>
        <w:jc w:val="left"/>
      </w:pPr>
      <w:r>
        <w:rPr>
          <w:b/>
        </w:rPr>
        <w:t xml:space="preserve">4.  </w:t>
      </w:r>
      <w:bookmarkStart w:id="19" w:name="Bookmark__k_i_4"/>
      <w:bookmarkEnd w:id="19"/>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 or</w:t>
      </w:r>
    </w:p>
    <w:p>
      <w:pPr>
        <w:keepNext w:val="0"/>
        <w:spacing w:before="120" w:after="0" w:line="300" w:lineRule="atLeast"/>
        <w:ind w:left="1800" w:right="0"/>
        <w:jc w:val="left"/>
      </w:pPr>
      <w:r>
        <w:rPr>
          <w:b/>
        </w:rPr>
        <w:t xml:space="preserve">5.  </w:t>
      </w:r>
      <w:bookmarkStart w:id="20" w:name="Bookmark__k_i_5"/>
      <w:bookmarkEnd w:id="20"/>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(ii)  </w:t>
      </w:r>
      <w:bookmarkStart w:id="21" w:name="Bookmark__k_ii"/>
      <w:bookmarkEnd w:id="21"/>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that can be used to identify a particular consumer, and that relates to:</w:t>
      </w:r>
    </w:p>
    <w:p>
      <w:pPr>
        <w:keepNext w:val="0"/>
        <w:spacing w:before="120" w:after="0" w:line="300" w:lineRule="atLeast"/>
        <w:ind w:left="1800" w:right="0"/>
        <w:jc w:val="left"/>
      </w:pPr>
      <w:r>
        <w:rPr>
          <w:b/>
        </w:rPr>
        <w:t xml:space="preserve">1.  </w:t>
      </w:r>
      <w:bookmarkStart w:id="22" w:name="Bookmark__k_ii_1"/>
      <w:bookmarkEnd w:id="22"/>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800" w:right="0"/>
        <w:jc w:val="left"/>
      </w:pPr>
      <w:r>
        <w:rPr>
          <w:b/>
        </w:rPr>
        <w:t xml:space="preserve">2.  </w:t>
      </w:r>
      <w:bookmarkStart w:id="23" w:name="Bookmark__k_ii_2"/>
      <w:bookmarkEnd w:id="23"/>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800" w:right="0"/>
        <w:jc w:val="left"/>
      </w:pPr>
      <w:r>
        <w:rPr>
          <w:b/>
        </w:rPr>
        <w:t xml:space="preserve">3.  </w:t>
      </w:r>
      <w:bookmarkStart w:id="24" w:name="Bookmark__k_ii_3"/>
      <w:bookmarkEnd w:id="24"/>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b/>
        </w:rPr>
        <w:t xml:space="preserve">(l)  </w:t>
      </w:r>
      <w:bookmarkStart w:id="25" w:name="Bookmark__l"/>
      <w:bookmarkEnd w:id="25"/>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nongovernmental partnership, corporation, branch, agency or association.</w:t>
      </w:r>
    </w:p>
    <w:p>
      <w:pPr>
        <w:keepNext w:val="0"/>
        <w:spacing w:before="120" w:after="0" w:line="300" w:lineRule="atLeast"/>
        <w:ind w:left="1080" w:right="0"/>
        <w:jc w:val="left"/>
      </w:pPr>
      <w:r>
        <w:rPr>
          <w:b/>
        </w:rPr>
        <w:t xml:space="preserve">(m)  </w:t>
      </w:r>
      <w:bookmarkStart w:id="26" w:name="Bookmark__m"/>
      <w:bookmarkEnd w:id="26"/>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 For the purposes of this definition, a licensee has a reasonable basis to believe that information is lawfully made available to the general public if the licensee has taken steps to determine:</w:t>
      </w:r>
    </w:p>
    <w:p>
      <w:pPr>
        <w:keepNext w:val="0"/>
        <w:spacing w:before="120" w:after="0" w:line="300" w:lineRule="atLeast"/>
        <w:ind w:left="1440" w:right="0"/>
        <w:jc w:val="left"/>
      </w:pPr>
      <w:r>
        <w:rPr>
          <w:b/>
        </w:rPr>
        <w:t xml:space="preserve">(i)  </w:t>
      </w:r>
      <w:bookmarkStart w:id="27" w:name="Bookmark__m_i"/>
      <w:bookmarkEnd w:id="27"/>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440" w:right="0"/>
        <w:jc w:val="left"/>
      </w:pPr>
      <w:r>
        <w:rPr>
          <w:b/>
        </w:rPr>
        <w:t xml:space="preserve">(ii)  </w:t>
      </w:r>
      <w:bookmarkStart w:id="28" w:name="Bookmark__m_ii"/>
      <w:bookmarkEnd w:id="28"/>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such consumer has not done so.</w:t>
      </w:r>
    </w:p>
    <w:p>
      <w:pPr>
        <w:keepNext w:val="0"/>
        <w:spacing w:before="120" w:after="0" w:line="300" w:lineRule="atLeast"/>
        <w:ind w:left="1080" w:right="0"/>
        <w:jc w:val="left"/>
      </w:pPr>
      <w:r>
        <w:rPr>
          <w:b/>
        </w:rPr>
        <w:t xml:space="preserve">(n)  </w:t>
      </w:r>
      <w:bookmarkStart w:id="29" w:name="Bookmark__n"/>
      <w:bookmarkEnd w:id="29"/>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Section 83-5-807(3).</w:t>
      </w:r>
    </w:p>
    <w:p>
      <w:pPr>
        <w:keepNext w:val="0"/>
        <w:spacing w:before="120" w:after="0" w:line="300" w:lineRule="atLeast"/>
        <w:ind w:left="1080" w:right="0"/>
        <w:jc w:val="left"/>
      </w:pPr>
      <w:r>
        <w:rPr>
          <w:b/>
        </w:rPr>
        <w:t xml:space="preserve">(o)  </w:t>
      </w:r>
      <w:bookmarkStart w:id="30" w:name="Bookmark__o"/>
      <w:bookmarkEnd w:id="30"/>
      <w:r>
        <w:rPr>
          <w:rFonts w:ascii="times" w:eastAsia="times" w:hAnsi="times" w:cs="times"/>
          <w:b w:val="0"/>
          <w:i w:val="0"/>
          <w:strike w:val="0"/>
          <w:noProof w:val="0"/>
          <w:color w:val="000000"/>
          <w:position w:val="0"/>
          <w:sz w:val="24"/>
          <w:u w:val="none"/>
          <w:vertAlign w:val="baseline"/>
        </w:rPr>
        <w:t>“State” means the State of Mississippi.</w:t>
      </w:r>
    </w:p>
    <w:p>
      <w:pPr>
        <w:keepNext w:val="0"/>
        <w:spacing w:before="120" w:after="0" w:line="300" w:lineRule="atLeast"/>
        <w:ind w:left="1080" w:right="0"/>
        <w:jc w:val="left"/>
      </w:pPr>
      <w:r>
        <w:rPr>
          <w:b/>
        </w:rPr>
        <w:t xml:space="preserve">(p)  </w:t>
      </w:r>
      <w:bookmarkStart w:id="31" w:name="Bookmark__p"/>
      <w:bookmarkEnd w:id="31"/>
      <w:r>
        <w:rPr>
          <w:rFonts w:ascii="times" w:eastAsia="times" w:hAnsi="times" w:cs="times"/>
          <w:b w:val="0"/>
          <w:i w:val="0"/>
          <w:strike w:val="0"/>
          <w:noProof w:val="0"/>
          <w:color w:val="000000"/>
          <w:position w:val="0"/>
          <w:sz w:val="24"/>
          <w:u w:val="none"/>
          <w:vertAlign w:val="baseline"/>
        </w:rPr>
        <w:t>“Third-party service provider” means a person, not otherwise defined as a licensee, who contracts with a licensee to maintain, process, store or otherwise is permitted access to nonpublic information through its provision of services to the licensee.</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2019, ch. 448, Laws, 2019, ch. 448, § 3, eff from and after July 1, 2019., eff from and after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83-5-805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83-5-805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W7J-8SJ2-D6RV-H22T-00000-00">
    <vt:lpwstr>Doc::/shared/document|contextualFeaturePermID::1516831</vt:lpwstr>
  </property>
  <property fmtid="{D5CDD505-2E9C-101B-9397-08002B2CF9AE}" pid="5" name="UserPermID">
    <vt:lpwstr>urn:user:PA186163333</vt:lpwstr>
  </property>
</Properties>
</file>