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Miss. Code Ann. §  83-5-809</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with 2024 1st and 2nd Extraordinary Sessions and Regular Session legislation signed by the Governor and effective upon passage through April 15, 2024, not including changes and corrections made by the Joint Legislative Committee on Compilation, Revision and Publication of Legislation.</w:t>
      </w:r>
    </w:p>
    <w:p>
      <w:pPr>
        <w:keepNext w:val="0"/>
        <w:spacing w:after="0" w:line="240" w:lineRule="atLeast"/>
        <w:ind w:right="0"/>
        <w:jc w:val="both"/>
      </w:pPr>
      <w:bookmarkStart w:id="0" w:name="Bookmark_4"/>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Mississippi Code 1972 Annotated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83. Insurance (Chs. 1 — 87)</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5. General Provisions Relative to Insurance and Insurance Companies (Arts. 1 — 13)</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Article 11. Insurance Data Security Law (§§ 83-5-801 — 83-5-825)</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xml:space="preserve">§ 83-5-809. Investigation of </w:t>
      </w:r>
      <w:r>
        <w:rPr>
          <w:rFonts w:ascii="times" w:eastAsia="times" w:hAnsi="times" w:cs="times"/>
          <w:b/>
          <w:i w:val="0"/>
          <w:strike w:val="0"/>
          <w:noProof w:val="0"/>
          <w:color w:val="000000"/>
          <w:position w:val="0"/>
          <w:sz w:val="28"/>
          <w:u w:val="none"/>
          <w:vertAlign w:val="baseline"/>
        </w:rPr>
        <w:t>cybersecurity</w:t>
      </w:r>
      <w:r>
        <w:rPr>
          <w:rFonts w:ascii="times" w:eastAsia="times" w:hAnsi="times" w:cs="times"/>
          <w:b/>
          <w:i w:val="0"/>
          <w:strike w:val="0"/>
          <w:noProof w:val="0"/>
          <w:color w:val="000000"/>
          <w:position w:val="0"/>
          <w:sz w:val="28"/>
          <w:u w:val="none"/>
          <w:vertAlign w:val="baseline"/>
        </w:rPr>
        <w:t xml:space="preserve"> event.</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(1)  </w:t>
      </w:r>
      <w:bookmarkStart w:id="1" w:name="Bookmark__1"/>
      <w:bookmarkEnd w:id="1"/>
      <w:r>
        <w:rPr>
          <w:rFonts w:ascii="times" w:eastAsia="times" w:hAnsi="times" w:cs="times"/>
          <w:b w:val="0"/>
          <w:i w:val="0"/>
          <w:strike w:val="0"/>
          <w:noProof w:val="0"/>
          <w:color w:val="000000"/>
          <w:position w:val="0"/>
          <w:sz w:val="24"/>
          <w:u w:val="none"/>
          <w:vertAlign w:val="baseline"/>
        </w:rPr>
        <w:t xml:space="preserve">If the licensee learns that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has or may have occurred, then the licensee, or an outside vendor and/or service provider designated to act on behalf of the licensee, shall conduct a prompt investigation.</w:t>
      </w:r>
    </w:p>
    <w:p>
      <w:pPr>
        <w:keepNext w:val="0"/>
        <w:spacing w:before="120" w:after="0" w:line="300" w:lineRule="atLeast"/>
        <w:ind w:left="720" w:right="0"/>
        <w:jc w:val="left"/>
      </w:pPr>
      <w:r>
        <w:rPr>
          <w:b/>
        </w:rPr>
        <w:t xml:space="preserve">(2)  </w:t>
      </w:r>
      <w:bookmarkStart w:id="2" w:name="Bookmark__2"/>
      <w:bookmarkEnd w:id="2"/>
      <w:r>
        <w:rPr>
          <w:rFonts w:ascii="times" w:eastAsia="times" w:hAnsi="times" w:cs="times"/>
          <w:b w:val="0"/>
          <w:i w:val="0"/>
          <w:strike w:val="0"/>
          <w:noProof w:val="0"/>
          <w:color w:val="000000"/>
          <w:position w:val="0"/>
          <w:sz w:val="24"/>
          <w:u w:val="none"/>
          <w:vertAlign w:val="baseline"/>
        </w:rPr>
        <w:t>During the investigation, the licensee, or an outside vendor and/or service provider designated to act on behalf of the licensee, shall, at a minimum, determine as much of the following information as possible:</w:t>
      </w:r>
    </w:p>
    <w:p>
      <w:pPr>
        <w:keepNext w:val="0"/>
        <w:spacing w:before="120" w:after="0" w:line="300" w:lineRule="atLeast"/>
        <w:ind w:left="1080" w:right="0"/>
        <w:jc w:val="left"/>
      </w:pPr>
      <w:r>
        <w:rPr>
          <w:b/>
        </w:rPr>
        <w:t xml:space="preserve">(a)  </w:t>
      </w:r>
      <w:bookmarkStart w:id="3" w:name="Bookmark__2_a"/>
      <w:bookmarkEnd w:id="3"/>
      <w:r>
        <w:rPr>
          <w:rFonts w:ascii="times" w:eastAsia="times" w:hAnsi="times" w:cs="times"/>
          <w:b w:val="0"/>
          <w:i w:val="0"/>
          <w:strike w:val="0"/>
          <w:noProof w:val="0"/>
          <w:color w:val="000000"/>
          <w:position w:val="0"/>
          <w:sz w:val="24"/>
          <w:u w:val="none"/>
          <w:vertAlign w:val="baseline"/>
        </w:rPr>
        <w:t xml:space="preserve">Determine whether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has occurred;</w:t>
      </w:r>
    </w:p>
    <w:p>
      <w:pPr>
        <w:keepNext w:val="0"/>
        <w:spacing w:before="120" w:after="0" w:line="300" w:lineRule="atLeast"/>
        <w:ind w:left="1080" w:right="0"/>
        <w:jc w:val="left"/>
      </w:pPr>
      <w:r>
        <w:rPr>
          <w:b/>
        </w:rPr>
        <w:t xml:space="preserve">(b)  </w:t>
      </w:r>
      <w:bookmarkStart w:id="4" w:name="Bookmark__2_b"/>
      <w:bookmarkEnd w:id="4"/>
      <w:r>
        <w:rPr>
          <w:rFonts w:ascii="times" w:eastAsia="times" w:hAnsi="times" w:cs="times"/>
          <w:b w:val="0"/>
          <w:i w:val="0"/>
          <w:strike w:val="0"/>
          <w:noProof w:val="0"/>
          <w:color w:val="000000"/>
          <w:position w:val="0"/>
          <w:sz w:val="24"/>
          <w:u w:val="none"/>
          <w:vertAlign w:val="baseline"/>
        </w:rPr>
        <w:t xml:space="preserve">Assess the nature and scope of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w:t>
      </w:r>
    </w:p>
    <w:p>
      <w:pPr>
        <w:keepNext w:val="0"/>
        <w:spacing w:before="120" w:after="0" w:line="300" w:lineRule="atLeast"/>
        <w:ind w:left="1080" w:right="0"/>
        <w:jc w:val="left"/>
      </w:pPr>
      <w:r>
        <w:rPr>
          <w:b/>
        </w:rPr>
        <w:t xml:space="preserve">(c)  </w:t>
      </w:r>
      <w:bookmarkStart w:id="5" w:name="Bookmark__2_c"/>
      <w:bookmarkEnd w:id="5"/>
      <w:r>
        <w:rPr>
          <w:rFonts w:ascii="times" w:eastAsia="times" w:hAnsi="times" w:cs="times"/>
          <w:b w:val="0"/>
          <w:i w:val="0"/>
          <w:strike w:val="0"/>
          <w:noProof w:val="0"/>
          <w:color w:val="000000"/>
          <w:position w:val="0"/>
          <w:sz w:val="24"/>
          <w:u w:val="none"/>
          <w:vertAlign w:val="baseline"/>
        </w:rPr>
        <w:t xml:space="preserve">Identify any nonpublic information that may have been involved in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and</w:t>
      </w:r>
    </w:p>
    <w:p>
      <w:pPr>
        <w:keepNext w:val="0"/>
        <w:spacing w:before="120" w:after="0" w:line="300" w:lineRule="atLeast"/>
        <w:ind w:left="1080" w:right="0"/>
        <w:jc w:val="left"/>
      </w:pPr>
      <w:r>
        <w:rPr>
          <w:b/>
        </w:rPr>
        <w:t xml:space="preserve">(d)  </w:t>
      </w:r>
      <w:bookmarkStart w:id="6" w:name="Bookmark__2_d"/>
      <w:bookmarkEnd w:id="6"/>
      <w:r>
        <w:rPr>
          <w:rFonts w:ascii="times" w:eastAsia="times" w:hAnsi="times" w:cs="times"/>
          <w:b w:val="0"/>
          <w:i w:val="0"/>
          <w:strike w:val="0"/>
          <w:noProof w:val="0"/>
          <w:color w:val="000000"/>
          <w:position w:val="0"/>
          <w:sz w:val="24"/>
          <w:u w:val="none"/>
          <w:vertAlign w:val="baseline"/>
        </w:rPr>
        <w:t xml:space="preserve">Perform or oversee reasonable measures to restore the security of the information systems compromised in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in order to prevent further unauthorized acquisition, release or use of nonpublic information in the licensee’s possession, custody or control.</w:t>
      </w:r>
    </w:p>
    <w:p>
      <w:pPr>
        <w:keepNext w:val="0"/>
        <w:spacing w:before="120" w:after="0" w:line="300" w:lineRule="atLeast"/>
        <w:ind w:left="720" w:right="0"/>
        <w:jc w:val="left"/>
      </w:pPr>
      <w:r>
        <w:rPr>
          <w:b/>
        </w:rPr>
        <w:t xml:space="preserve">(3)  </w:t>
      </w:r>
      <w:bookmarkStart w:id="7" w:name="Bookmark__3"/>
      <w:bookmarkEnd w:id="7"/>
      <w:r>
        <w:rPr>
          <w:rFonts w:ascii="times" w:eastAsia="times" w:hAnsi="times" w:cs="times"/>
          <w:b w:val="0"/>
          <w:i w:val="0"/>
          <w:strike w:val="0"/>
          <w:noProof w:val="0"/>
          <w:color w:val="000000"/>
          <w:position w:val="0"/>
          <w:sz w:val="24"/>
          <w:u w:val="none"/>
          <w:vertAlign w:val="baseline"/>
        </w:rPr>
        <w:t xml:space="preserve">If the licensee learns that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has or may have occurred in a system maintained by a third-party service provider, the licensee will complete the steps listed in subsection (2) of this section or confirm and document that the third-party service provider has completed those steps.</w:t>
      </w:r>
    </w:p>
    <w:p>
      <w:pPr>
        <w:keepNext w:val="0"/>
        <w:spacing w:before="120" w:after="0" w:line="300" w:lineRule="atLeast"/>
        <w:ind w:left="720" w:right="0"/>
        <w:jc w:val="left"/>
      </w:pPr>
      <w:r>
        <w:rPr>
          <w:b/>
        </w:rPr>
        <w:t xml:space="preserve">(4)  </w:t>
      </w:r>
      <w:bookmarkStart w:id="8" w:name="Bookmark__4"/>
      <w:bookmarkEnd w:id="8"/>
      <w:r>
        <w:rPr>
          <w:rFonts w:ascii="times" w:eastAsia="times" w:hAnsi="times" w:cs="times"/>
          <w:b w:val="0"/>
          <w:i w:val="0"/>
          <w:strike w:val="0"/>
          <w:noProof w:val="0"/>
          <w:color w:val="000000"/>
          <w:position w:val="0"/>
          <w:sz w:val="24"/>
          <w:u w:val="none"/>
          <w:vertAlign w:val="baseline"/>
        </w:rPr>
        <w:t xml:space="preserve">The licensee shall maintain records concerning all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events for a period of at least five (5) years from the date of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and shall produce those records upon demand of the commissioner.</w:t>
      </w:r>
    </w:p>
    <w:p>
      <w:pPr>
        <w:keepNext/>
        <w:spacing w:before="240" w:after="0" w:line="340" w:lineRule="atLeast"/>
        <w:ind w:left="0" w:right="0" w:firstLine="0"/>
        <w:jc w:val="left"/>
      </w:pPr>
      <w:bookmarkStart w:id="9" w:name="History"/>
      <w:bookmarkEnd w:id="9"/>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Laws, 2019, ch. 448, § 5, eff from and after July 1, 2019.</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Mississippi Code 1972 Annotated</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Trayce Hockstad</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Miss. Code Ann. §  83-5-809</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Miss. Code Ann. §  83-5-809</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222388769</vt:lpwstr>
  </property>
  <property fmtid="{D5CDD505-2E9C-101B-9397-08002B2CF9AE}" pid="3" name="LADocCount">
    <vt:lpwstr>1</vt:lpwstr>
  </property>
  <property fmtid="{D5CDD505-2E9C-101B-9397-08002B2CF9AE}" pid="4" name="LADocumentID:urn:contentItem:8W7J-8TK2-D6RV-H22X-00000-00">
    <vt:lpwstr>Doc::/shared/document|contextualFeaturePermID::1516831</vt:lpwstr>
  </property>
  <property fmtid="{D5CDD505-2E9C-101B-9397-08002B2CF9AE}" pid="5" name="UserPermID">
    <vt:lpwstr>urn:user:PA186163333</vt:lpwstr>
  </property>
</Properties>
</file>