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Nev. Rev. Stat. Ann. § 649.___ [Added by 2023 Nev. SB 276, § 9] 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New Sections Added by Recent Legislation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New Sections Added by 2023 Legislation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Added to Title 54. Professions, Occupations and Businesses.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Nev. Rev. Stat. Ann. § 649.___ [Added by 2023 Nev. SB 276, § 9] 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collection agency shall develop and implement a written security policy for collection agents who work from a remote location to ensure that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debtors, customers and the collection agency is secure and protected from unauthorized disclosure, access, use, modification, duplication or destruction. The security policy must include, without limitation: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Access to the technological systems of the collection agency through a virtual private network or other similar network or system which: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3" w:name="Bookmark__1_a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Utilizes multifactor authentication,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encryption and frequent password changes;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4" w:name="Bookmark__1_a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Automatically locks a collection agent out of his or her account if suspicious activity is detected;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5" w:name="Bookmark__1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procedure to immediately update and repair any security network or system to ensure that current security technologies are utilized;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6" w:name="Bookmark__1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requirement to store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debtors, customers and the collection agency on designated drives that are safe, secure and expandable;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7" w:name="Bookmark__1_d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requirement that collection agents work on electronic devices that are secured with software and hardware protections including, without limitation, antivirus software and a firewall;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8" w:name="Bookmark__1_e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requirement that collection agents access any system of the collection agency through an electronic device that has been issued by the collection agency and a prohibition on using such an electronic device for personal purposes;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(f)  </w:t>
      </w:r>
      <w:bookmarkStart w:id="9" w:name="Bookmark__1_f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procedure for the containment and disclosure of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occurs, including, without limitation, the issuance of any disclosure that is required by law;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(g)  </w:t>
      </w:r>
      <w:bookmarkStart w:id="10" w:name="Bookmark__1_g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procedure for the protection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during a natural disaster or other emergency that has the potential to impact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electronic devices of the collection agency at a remote location and the recovery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after such a natural disaster or other emergency;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(h)  </w:t>
      </w:r>
      <w:bookmarkStart w:id="11" w:name="Bookmark__1_h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procedure for the secure disposal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accordance with any applicable law or contract;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12" w:name="Bookmark__1_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procedure for conducting an annual risk assessment concerning the protection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debtors, customers and the collection agency and a plan to implement new policies based on the results of the risk assessment;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(j)  </w:t>
      </w:r>
      <w:bookmarkStart w:id="13" w:name="Bookmark__1_j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Procedures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14" w:name="Bookmark__1_j_1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Prevent a former collection agent from accessing any system of the collection agency;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15" w:name="Bookmark__1_j_2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Remotely disable or remove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from an electronic device owned by the collection agency at the remote location.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16" w:name="Bookmark__2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collection agency that complies with the requirements of 16 C.F.R. Part 314 satisfies the requirements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7" w:name="History"/>
      <w:bookmarkEnd w:id="1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2023, ch. 534, § 9, effective October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 xml:space="preserve">Nev. Rev. Stat. Ann. § 649.___ [Added by 2023 Nev. SB 276, § 9]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Nev. Rev. Stat. Ann. § 649.___ [Added by 2023 Nev. SB 276, § 9]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