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480.935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Public Safety; Vehicles; Watercraft. (Chs. 480 — 490)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480. Administration of Laws Relating to Public Safety. (§§ 480.010 — 480.950)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Security of Information Systems (§§ 480.900 — 480.950)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480.935. Political subdivisions required to adopt and maintain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incident response plan; plan to be filed with Office; requirements for plan; confidentiality; exceptions; regulations.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Each political subdivision shall adopt and maintain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plan. Each new or revised plan must be filed within 10 days after adoption or revision with the Office.</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The Office shall, by regulation, prescribe the contents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plan, which must include, without limitation, a plan:</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To prepare for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To detect and analyze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 xml:space="preserve">To contain, eradicate and recover from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and</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 xml:space="preserve">For postincident activity that includes a discussion regarding information learned and any analytics associated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w:t>
      </w:r>
    </w:p>
    <w:p>
      <w:pPr>
        <w:keepNext w:val="0"/>
        <w:spacing w:before="120" w:after="0" w:line="300" w:lineRule="atLeast"/>
        <w:ind w:left="720" w:right="0"/>
        <w:jc w:val="left"/>
      </w:pPr>
      <w:r>
        <w:rPr>
          <w:b/>
        </w:rPr>
        <w:t xml:space="preserve">3.  </w:t>
      </w:r>
      <w:bookmarkStart w:id="7" w:name="Bookmark__3"/>
      <w:bookmarkEnd w:id="7"/>
      <w:r>
        <w:rPr>
          <w:rFonts w:ascii="times" w:eastAsia="times" w:hAnsi="times" w:cs="times"/>
          <w:b w:val="0"/>
          <w:i w:val="0"/>
          <w:strike w:val="0"/>
          <w:noProof w:val="0"/>
          <w:color w:val="000000"/>
          <w:position w:val="0"/>
          <w:sz w:val="24"/>
          <w:u w:val="none"/>
          <w:vertAlign w:val="baseline"/>
        </w:rPr>
        <w:t xml:space="preserve">Each political subdivision shall review its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plan at least once each year and, as soon as practicable after the review is completed but not later than December 31 of each year, file with the Office:</w:t>
      </w:r>
    </w:p>
    <w:p>
      <w:pPr>
        <w:keepNext w:val="0"/>
        <w:spacing w:before="120" w:after="0" w:line="300" w:lineRule="atLeast"/>
        <w:ind w:left="1080" w:right="0"/>
        <w:jc w:val="left"/>
      </w:pPr>
      <w:r>
        <w:rPr>
          <w:b/>
        </w:rPr>
        <w:t xml:space="preserve">(a)  </w:t>
      </w:r>
      <w:bookmarkStart w:id="8" w:name="Bookmark__3_a"/>
      <w:bookmarkEnd w:id="8"/>
      <w:r>
        <w:rPr>
          <w:rFonts w:ascii="times" w:eastAsia="times" w:hAnsi="times" w:cs="times"/>
          <w:b w:val="0"/>
          <w:i w:val="0"/>
          <w:strike w:val="0"/>
          <w:noProof w:val="0"/>
          <w:color w:val="000000"/>
          <w:position w:val="0"/>
          <w:sz w:val="24"/>
          <w:u w:val="none"/>
          <w:vertAlign w:val="baseline"/>
        </w:rPr>
        <w:t xml:space="preserve">Any revised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plan resulting from the review; or</w:t>
      </w:r>
    </w:p>
    <w:p>
      <w:pPr>
        <w:keepNext w:val="0"/>
        <w:spacing w:before="120" w:after="0" w:line="300" w:lineRule="atLeast"/>
        <w:ind w:left="1080" w:right="0"/>
        <w:jc w:val="left"/>
      </w:pPr>
      <w:r>
        <w:rPr>
          <w:b/>
        </w:rPr>
        <w:t xml:space="preserve">(b)  </w:t>
      </w:r>
      <w:bookmarkStart w:id="9" w:name="Bookmark__3_b"/>
      <w:bookmarkEnd w:id="9"/>
      <w:r>
        <w:rPr>
          <w:rFonts w:ascii="times" w:eastAsia="times" w:hAnsi="times" w:cs="times"/>
          <w:b w:val="0"/>
          <w:i w:val="0"/>
          <w:strike w:val="0"/>
          <w:noProof w:val="0"/>
          <w:color w:val="000000"/>
          <w:position w:val="0"/>
          <w:sz w:val="24"/>
          <w:u w:val="none"/>
          <w:vertAlign w:val="baseline"/>
        </w:rPr>
        <w:t xml:space="preserve">A written certification that the most recent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plan filed pursuant to this subsection or subsection 1 is the current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plan for the political subdivision.</w:t>
      </w:r>
    </w:p>
    <w:p>
      <w:pPr>
        <w:keepNext w:val="0"/>
        <w:spacing w:before="120" w:after="0" w:line="300" w:lineRule="atLeast"/>
        <w:ind w:left="720" w:right="0"/>
        <w:jc w:val="left"/>
      </w:pPr>
      <w:r>
        <w:rPr>
          <w:b/>
        </w:rPr>
        <w:t xml:space="preserve">4.  </w:t>
      </w:r>
      <w:bookmarkStart w:id="10" w:name="Bookmark__4"/>
      <w:bookmarkEnd w:id="10"/>
      <w:r>
        <w:rPr>
          <w:rFonts w:ascii="times" w:eastAsia="times" w:hAnsi="times" w:cs="times"/>
          <w:b w:val="0"/>
          <w:i w:val="0"/>
          <w:strike w:val="0"/>
          <w:noProof w:val="0"/>
          <w:color w:val="000000"/>
          <w:position w:val="0"/>
          <w:sz w:val="24"/>
          <w:u w:val="none"/>
          <w:vertAlign w:val="baseline"/>
        </w:rPr>
        <w:t xml:space="preserve">Except as otherwise provided in NRS 239.0115,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response plan filed pursuant to the requirements of this section, including any revisions adopted thereto, is confidential and must be securely maintained by the Office. An officer, employee or other person to whom the plan is entrusted by the Office shall not disclose the contents of such a plan except:</w:t>
      </w:r>
    </w:p>
    <w:p>
      <w:pPr>
        <w:keepNext w:val="0"/>
        <w:spacing w:before="120" w:after="0" w:line="300" w:lineRule="atLeast"/>
        <w:ind w:left="1080" w:right="0"/>
        <w:jc w:val="left"/>
      </w:pPr>
      <w:r>
        <w:rPr>
          <w:b/>
        </w:rPr>
        <w:t xml:space="preserve">(a)  </w:t>
      </w:r>
      <w:bookmarkStart w:id="11" w:name="Bookmark__4_a"/>
      <w:bookmarkEnd w:id="11"/>
      <w:r>
        <w:rPr>
          <w:rFonts w:ascii="times" w:eastAsia="times" w:hAnsi="times" w:cs="times"/>
          <w:b w:val="0"/>
          <w:i w:val="0"/>
          <w:strike w:val="0"/>
          <w:noProof w:val="0"/>
          <w:color w:val="000000"/>
          <w:position w:val="0"/>
          <w:sz w:val="24"/>
          <w:u w:val="none"/>
          <w:vertAlign w:val="baseline"/>
        </w:rPr>
        <w:t>Upon the lawful order of a court of competent jurisdiction;</w:t>
      </w:r>
    </w:p>
    <w:p>
      <w:pPr>
        <w:keepNext w:val="0"/>
        <w:spacing w:before="120" w:after="0" w:line="300" w:lineRule="atLeast"/>
        <w:ind w:left="1080" w:right="0"/>
        <w:jc w:val="left"/>
      </w:pPr>
      <w:r>
        <w:rPr>
          <w:b/>
        </w:rPr>
        <w:t xml:space="preserve">(b)  </w:t>
      </w:r>
      <w:bookmarkStart w:id="12" w:name="Bookmark__4_b"/>
      <w:bookmarkEnd w:id="12"/>
      <w:r>
        <w:rPr>
          <w:rFonts w:ascii="times" w:eastAsia="times" w:hAnsi="times" w:cs="times"/>
          <w:b w:val="0"/>
          <w:i w:val="0"/>
          <w:strike w:val="0"/>
          <w:noProof w:val="0"/>
          <w:color w:val="000000"/>
          <w:position w:val="0"/>
          <w:sz w:val="24"/>
          <w:u w:val="none"/>
          <w:vertAlign w:val="baseline"/>
        </w:rPr>
        <w:t>As is reasonably necessary in the case of an act of terrorism or related emergency; or</w:t>
      </w:r>
    </w:p>
    <w:p>
      <w:pPr>
        <w:keepNext w:val="0"/>
        <w:spacing w:before="120" w:after="0" w:line="300" w:lineRule="atLeast"/>
        <w:ind w:left="1080" w:right="0"/>
        <w:jc w:val="left"/>
      </w:pPr>
      <w:r>
        <w:rPr>
          <w:b/>
        </w:rPr>
        <w:t xml:space="preserve">(c)  </w:t>
      </w:r>
      <w:bookmarkStart w:id="13" w:name="Bookmark__4_c"/>
      <w:bookmarkEnd w:id="13"/>
      <w:r>
        <w:rPr>
          <w:rFonts w:ascii="times" w:eastAsia="times" w:hAnsi="times" w:cs="times"/>
          <w:b w:val="0"/>
          <w:i w:val="0"/>
          <w:strike w:val="0"/>
          <w:noProof w:val="0"/>
          <w:color w:val="000000"/>
          <w:position w:val="0"/>
          <w:sz w:val="24"/>
          <w:u w:val="none"/>
          <w:vertAlign w:val="baseline"/>
        </w:rPr>
        <w:t>Pursuant to the provisions of NRS 239.0115.</w:t>
      </w:r>
    </w:p>
    <w:p>
      <w:pPr>
        <w:keepNext w:val="0"/>
        <w:spacing w:before="120" w:after="0" w:line="300" w:lineRule="atLeast"/>
        <w:ind w:left="720" w:right="0"/>
        <w:jc w:val="left"/>
      </w:pPr>
      <w:r>
        <w:rPr>
          <w:b/>
        </w:rPr>
        <w:t xml:space="preserve">5.  </w:t>
      </w:r>
      <w:bookmarkStart w:id="14" w:name="Bookmark__5"/>
      <w:bookmarkEnd w:id="14"/>
      <w:r>
        <w:rPr>
          <w:rFonts w:ascii="times" w:eastAsia="times" w:hAnsi="times" w:cs="times"/>
          <w:b w:val="0"/>
          <w:i w:val="0"/>
          <w:strike w:val="0"/>
          <w:noProof w:val="0"/>
          <w:color w:val="000000"/>
          <w:position w:val="0"/>
          <w:sz w:val="24"/>
          <w:u w:val="none"/>
          <w:vertAlign w:val="baseline"/>
        </w:rPr>
        <w:t>As used in this section, “political subdivision” means a city or county of this State.</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2019, ch. 392, § 9, p. 2472, effective June 5,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480.935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480.935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