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701.776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58. Energy; Public Utilities and Similar Entities. (Chs. 701 — 712)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701. Energy Policy. (§§ 701.010 — 701.780)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Energy Efficiency Standards for Appliances (§§ 701.700 — 701.780)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701.776. Standards to facilitate deployment of flexible demand technologies; effective date; considerations, consultations and priorities; regulations.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Director may adopt by regulation standards for appliances and other provisions which are necessary and convenient to facilitate the deployment of flexible demand technologies, including, without limitation, regulations relating to the labeling of appliances incorporating flexible demand technologies to promote the use of such appliances. Any such regulations must be based on feasible and attainable efficiencies or feasible improvements that will enable appliance operations to be scheduled, shifted or curtailed to reduce emissions of greenhouse gases associated with electricity generation.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Director shall establish an effective date for regulations adopted pursuant to subsection 1 which must be not earlier than 365 days after the date on which the regulations are filed with the Secretary of State pursuant to NRS 233B.070.</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establishing standards for appliances pursuant to subsection 1, the Director shall:</w:t>
      </w:r>
    </w:p>
    <w:p>
      <w:pPr>
        <w:keepNext w:val="0"/>
        <w:spacing w:before="120" w:after="0" w:line="300" w:lineRule="atLeast"/>
        <w:ind w:left="108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 xml:space="preserve">Consider the reliability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protocols of the National Institute of Standards and Technology of the United States Department of Commerce, or other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protocols that are equally or more protective and adopt, at minimum, the North American Electric Reliability Corporation Critical Infrastructure Protection Standards, as those standards exist on July 1, 2021.</w:t>
      </w:r>
    </w:p>
    <w:p>
      <w:pPr>
        <w:keepNext w:val="0"/>
        <w:spacing w:before="120" w:after="0" w:line="300" w:lineRule="atLeast"/>
        <w:ind w:left="108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Consult with the Public Utilities Commission of Nevada and electric utilities to better align the flexible demand appliance standards with demand response programs and to incentivize the deployment of flexible demand appliances.</w:t>
      </w:r>
    </w:p>
    <w:p>
      <w:pPr>
        <w:keepNext w:val="0"/>
        <w:spacing w:before="120" w:after="0" w:line="300" w:lineRule="atLeast"/>
        <w:ind w:left="72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Flexible demand appliance standards adopted pursuant to subsection 1 must prioritize:</w:t>
      </w:r>
    </w:p>
    <w:p>
      <w:pPr>
        <w:keepNext w:val="0"/>
        <w:spacing w:before="120" w:after="0" w:line="300" w:lineRule="atLeast"/>
        <w:ind w:left="1080" w:right="0"/>
        <w:jc w:val="left"/>
      </w:pPr>
      <w:r>
        <w:rPr>
          <w:b/>
        </w:rPr>
        <w:t xml:space="preserve">(a)  </w:t>
      </w:r>
      <w:bookmarkStart w:id="7" w:name="Bookmark__4_a"/>
      <w:bookmarkEnd w:id="7"/>
      <w:r>
        <w:rPr>
          <w:rFonts w:ascii="times" w:eastAsia="times" w:hAnsi="times" w:cs="times"/>
          <w:b w:val="0"/>
          <w:i w:val="0"/>
          <w:strike w:val="0"/>
          <w:noProof w:val="0"/>
          <w:color w:val="000000"/>
          <w:position w:val="0"/>
          <w:sz w:val="24"/>
          <w:u w:val="none"/>
          <w:vertAlign w:val="baseline"/>
        </w:rPr>
        <w:t>Appliances that can more conveniently have their electrical demand controlled by load-management technology and third-party load-management programs.</w:t>
      </w:r>
    </w:p>
    <w:p>
      <w:pPr>
        <w:keepNext w:val="0"/>
        <w:spacing w:before="120" w:after="0" w:line="300" w:lineRule="atLeast"/>
        <w:ind w:left="1080" w:right="0"/>
        <w:jc w:val="left"/>
      </w:pPr>
      <w:r>
        <w:rPr>
          <w:b/>
        </w:rPr>
        <w:t xml:space="preserve">(b)  </w:t>
      </w:r>
      <w:bookmarkStart w:id="8" w:name="Bookmark__4_b"/>
      <w:bookmarkEnd w:id="8"/>
      <w:r>
        <w:rPr>
          <w:rFonts w:ascii="times" w:eastAsia="times" w:hAnsi="times" w:cs="times"/>
          <w:b w:val="0"/>
          <w:i w:val="0"/>
          <w:strike w:val="0"/>
          <w:noProof w:val="0"/>
          <w:color w:val="000000"/>
          <w:position w:val="0"/>
          <w:sz w:val="24"/>
          <w:u w:val="none"/>
          <w:vertAlign w:val="baseline"/>
        </w:rPr>
        <w:t>Appliances with load-management technology options that are readily available.</w:t>
      </w:r>
    </w:p>
    <w:p>
      <w:pPr>
        <w:keepNext w:val="0"/>
        <w:spacing w:before="120" w:after="0" w:line="300" w:lineRule="atLeast"/>
        <w:ind w:left="1080" w:right="0"/>
        <w:jc w:val="left"/>
      </w:pPr>
      <w:r>
        <w:rPr>
          <w:b/>
        </w:rPr>
        <w:t xml:space="preserve">(c)  </w:t>
      </w:r>
      <w:bookmarkStart w:id="9" w:name="Bookmark__4_c"/>
      <w:bookmarkEnd w:id="9"/>
      <w:r>
        <w:rPr>
          <w:rFonts w:ascii="times" w:eastAsia="times" w:hAnsi="times" w:cs="times"/>
          <w:b w:val="0"/>
          <w:i w:val="0"/>
          <w:strike w:val="0"/>
          <w:noProof w:val="0"/>
          <w:color w:val="000000"/>
          <w:position w:val="0"/>
          <w:sz w:val="24"/>
          <w:u w:val="none"/>
          <w:vertAlign w:val="baseline"/>
        </w:rPr>
        <w:t>Appliances that have a user-friendly interface and follow a straightforward setup and connection process, such as remote setup by means of an Internet website or application.</w:t>
      </w:r>
    </w:p>
    <w:p>
      <w:pPr>
        <w:keepNext w:val="0"/>
        <w:spacing w:before="120" w:after="0" w:line="300" w:lineRule="atLeast"/>
        <w:ind w:left="1080" w:right="0"/>
        <w:jc w:val="left"/>
      </w:pPr>
      <w:r>
        <w:rPr>
          <w:b/>
        </w:rPr>
        <w:t xml:space="preserve">(d)  </w:t>
      </w:r>
      <w:bookmarkStart w:id="10" w:name="Bookmark__4_d"/>
      <w:bookmarkEnd w:id="10"/>
      <w:r>
        <w:rPr>
          <w:rFonts w:ascii="times" w:eastAsia="times" w:hAnsi="times" w:cs="times"/>
          <w:b w:val="0"/>
          <w:i w:val="0"/>
          <w:strike w:val="0"/>
          <w:noProof w:val="0"/>
          <w:color w:val="000000"/>
          <w:position w:val="0"/>
          <w:sz w:val="24"/>
          <w:u w:val="none"/>
          <w:vertAlign w:val="baseline"/>
        </w:rPr>
        <w:t>Appliances with load-management technology options that follow simple standards for third-party direct operation of the appliances.</w:t>
      </w:r>
    </w:p>
    <w:p>
      <w:pPr>
        <w:keepNext w:val="0"/>
        <w:spacing w:before="120" w:after="0" w:line="300" w:lineRule="atLeast"/>
        <w:ind w:left="1080" w:right="0"/>
        <w:jc w:val="left"/>
      </w:pPr>
      <w:r>
        <w:rPr>
          <w:b/>
        </w:rPr>
        <w:t xml:space="preserve">(e)  </w:t>
      </w:r>
      <w:bookmarkStart w:id="11" w:name="Bookmark__4_e"/>
      <w:bookmarkEnd w:id="11"/>
      <w:r>
        <w:rPr>
          <w:rFonts w:ascii="times" w:eastAsia="times" w:hAnsi="times" w:cs="times"/>
          <w:b w:val="0"/>
          <w:i w:val="0"/>
          <w:strike w:val="0"/>
          <w:noProof w:val="0"/>
          <w:color w:val="000000"/>
          <w:position w:val="0"/>
          <w:sz w:val="24"/>
          <w:u w:val="none"/>
          <w:vertAlign w:val="baseline"/>
        </w:rPr>
        <w:t>Appliances that are interoperable or open source.</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ch. 368, § 37, p. 2206,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701.776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701.776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