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600A.030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52. Trade Regulations and Practices. (Chs. 597 — 604B)</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600A. Trade Secrets (Uniform Act). (§§ 600A.010 — 600A.100)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600A.030.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unless the context otherwise requires: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includes, without limitation:</w:t>
      </w:r>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Theft;</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Bribery;</w:t>
      </w:r>
    </w:p>
    <w:p>
      <w:pPr>
        <w:keepNext w:val="0"/>
        <w:spacing w:before="120" w:after="0" w:line="300" w:lineRule="atLeast"/>
        <w:ind w:left="144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Misrepresentation;</w:t>
      </w:r>
    </w:p>
    <w:p>
      <w:pPr>
        <w:keepNext w:val="0"/>
        <w:spacing w:before="120" w:after="0" w:line="300" w:lineRule="atLeast"/>
        <w:ind w:left="144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Willful breach or willful inducement of a breach of a duty to maintain secrecy;</w:t>
      </w:r>
    </w:p>
    <w:p>
      <w:pPr>
        <w:keepNext w:val="0"/>
        <w:spacing w:before="120" w:after="0" w:line="300" w:lineRule="atLeast"/>
        <w:ind w:left="144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Willful breach or willful inducement of a breach of a duty imposed by common law, statute, contract, license, protective order or other court or administrative order; and</w:t>
      </w:r>
    </w:p>
    <w:p>
      <w:pPr>
        <w:keepNext w:val="0"/>
        <w:spacing w:before="120" w:after="0" w:line="300" w:lineRule="atLeast"/>
        <w:ind w:left="1440" w:right="0"/>
        <w:jc w:val="left"/>
      </w:pPr>
      <w:r>
        <w:rPr>
          <w:b/>
        </w:rPr>
        <w:t xml:space="preserve">(f)  </w:t>
      </w:r>
      <w:bookmarkStart w:id="7" w:name="Bookmark__1_f"/>
      <w:bookmarkEnd w:id="7"/>
      <w:r>
        <w:rPr>
          <w:rFonts w:ascii="times" w:eastAsia="times" w:hAnsi="times" w:cs="times"/>
          <w:b w:val="0"/>
          <w:i w:val="0"/>
          <w:strike w:val="0"/>
          <w:noProof w:val="0"/>
          <w:color w:val="000000"/>
          <w:position w:val="0"/>
          <w:sz w:val="24"/>
          <w:u w:val="none"/>
          <w:vertAlign w:val="baseline"/>
        </w:rPr>
        <w:t>Espionage through electronic or other means.</w:t>
      </w:r>
    </w:p>
    <w:p>
      <w:pPr>
        <w:keepNext w:val="0"/>
        <w:spacing w:before="120" w:after="0" w:line="300" w:lineRule="atLeast"/>
        <w:ind w:left="1080" w:right="0"/>
        <w:jc w:val="left"/>
      </w:pPr>
      <w:r>
        <w:rPr>
          <w:b/>
        </w:rPr>
        <w:t xml:space="preserve">2.  </w:t>
      </w:r>
      <w:bookmarkStart w:id="8" w:name="Bookmark__2"/>
      <w:bookmarkEnd w:id="8"/>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9" w:name="Bookmark__2_a"/>
      <w:bookmarkEnd w:id="9"/>
      <w:r>
        <w:rPr>
          <w:rFonts w:ascii="times" w:eastAsia="times" w:hAnsi="times" w:cs="times"/>
          <w:b w:val="0"/>
          <w:i w:val="0"/>
          <w:strike w:val="0"/>
          <w:noProof w:val="0"/>
          <w:color w:val="000000"/>
          <w:position w:val="0"/>
          <w:sz w:val="24"/>
          <w:u w:val="none"/>
          <w:vertAlign w:val="baseline"/>
        </w:rPr>
        <w:t>Acquisition of the trade secret of another by a person by improper means;</w:t>
      </w:r>
    </w:p>
    <w:p>
      <w:pPr>
        <w:keepNext w:val="0"/>
        <w:spacing w:before="120" w:after="0" w:line="300" w:lineRule="atLeast"/>
        <w:ind w:left="1440" w:right="0"/>
        <w:jc w:val="left"/>
      </w:pPr>
      <w:r>
        <w:rPr>
          <w:b/>
        </w:rPr>
        <w:t xml:space="preserve">(b)  </w:t>
      </w:r>
      <w:bookmarkStart w:id="10" w:name="Bookmark__2_b"/>
      <w:bookmarkEnd w:id="10"/>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(c)  </w:t>
      </w:r>
      <w:bookmarkStart w:id="11" w:name="Bookmark__2_c"/>
      <w:bookmarkEnd w:id="11"/>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(1)  </w:t>
      </w:r>
      <w:bookmarkStart w:id="12" w:name="Bookmark__2_c_1"/>
      <w:bookmarkEnd w:id="12"/>
      <w:r>
        <w:rPr>
          <w:rFonts w:ascii="times" w:eastAsia="times" w:hAnsi="times" w:cs="times"/>
          <w:b w:val="0"/>
          <w:i w:val="0"/>
          <w:strike w:val="0"/>
          <w:noProof w:val="0"/>
          <w:color w:val="000000"/>
          <w:position w:val="0"/>
          <w:sz w:val="24"/>
          <w:u w:val="none"/>
          <w:vertAlign w:val="baseline"/>
        </w:rPr>
        <w:t>Used improper means to acquire knowledge of the trade secret;</w:t>
      </w:r>
    </w:p>
    <w:p>
      <w:pPr>
        <w:keepNext w:val="0"/>
        <w:spacing w:before="120" w:after="0" w:line="300" w:lineRule="atLeast"/>
        <w:ind w:left="1800" w:right="0"/>
        <w:jc w:val="left"/>
      </w:pPr>
      <w:r>
        <w:rPr>
          <w:b/>
        </w:rPr>
        <w:t xml:space="preserve">(2)  </w:t>
      </w:r>
      <w:bookmarkStart w:id="13" w:name="Bookmark__2_c_2"/>
      <w:bookmarkEnd w:id="13"/>
      <w:r>
        <w:rPr>
          <w:rFonts w:ascii="times" w:eastAsia="times" w:hAnsi="times" w:cs="times"/>
          <w:b w:val="0"/>
          <w:i w:val="0"/>
          <w:strike w:val="0"/>
          <w:noProof w:val="0"/>
          <w:color w:val="000000"/>
          <w:position w:val="0"/>
          <w:sz w:val="24"/>
          <w:u w:val="none"/>
          <w:vertAlign w:val="baseline"/>
        </w:rPr>
        <w:t>At the time of disclosure or use, knew or had reason to know that his or her knowledge of the trade secret was:</w:t>
      </w:r>
    </w:p>
    <w:p>
      <w:pPr>
        <w:keepNext w:val="0"/>
        <w:spacing w:before="120" w:after="0" w:line="300" w:lineRule="atLeast"/>
        <w:ind w:left="2160" w:right="0"/>
        <w:jc w:val="left"/>
      </w:pPr>
      <w:r>
        <w:rPr>
          <w:b/>
        </w:rPr>
        <w:t xml:space="preserve">(I)  </w:t>
      </w:r>
      <w:bookmarkStart w:id="14" w:name="Bookmark__2_c_2_i"/>
      <w:bookmarkEnd w:id="14"/>
      <w:r>
        <w:rPr>
          <w:rFonts w:ascii="times" w:eastAsia="times" w:hAnsi="times" w:cs="times"/>
          <w:b w:val="0"/>
          <w:i w:val="0"/>
          <w:strike w:val="0"/>
          <w:noProof w:val="0"/>
          <w:color w:val="000000"/>
          <w:position w:val="0"/>
          <w:sz w:val="24"/>
          <w:u w:val="none"/>
          <w:vertAlign w:val="baseline"/>
        </w:rPr>
        <w:t>Derived from or through a person who had used improper means to acquire it;</w:t>
      </w:r>
    </w:p>
    <w:p>
      <w:pPr>
        <w:keepNext w:val="0"/>
        <w:spacing w:before="120" w:after="0" w:line="300" w:lineRule="atLeast"/>
        <w:ind w:left="2160" w:right="0"/>
        <w:jc w:val="left"/>
      </w:pPr>
      <w:r>
        <w:rPr>
          <w:b/>
        </w:rPr>
        <w:t xml:space="preserve">(II)  </w:t>
      </w:r>
      <w:bookmarkStart w:id="15" w:name="Bookmark__2_c_2_ii"/>
      <w:bookmarkEnd w:id="15"/>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(III)  </w:t>
      </w:r>
      <w:bookmarkStart w:id="16" w:name="Bookmark__2_c_2_iii"/>
      <w:bookmarkEnd w:id="16"/>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(3)  </w:t>
      </w:r>
      <w:bookmarkStart w:id="17" w:name="Bookmark__2_c_3"/>
      <w:bookmarkEnd w:id="17"/>
      <w:r>
        <w:rPr>
          <w:rFonts w:ascii="times" w:eastAsia="times" w:hAnsi="times" w:cs="times"/>
          <w:b w:val="0"/>
          <w:i w:val="0"/>
          <w:strike w:val="0"/>
          <w:noProof w:val="0"/>
          <w:color w:val="000000"/>
          <w:position w:val="0"/>
          <w:sz w:val="24"/>
          <w:u w:val="none"/>
          <w:vertAlign w:val="baseline"/>
        </w:rPr>
        <w:t>Before a material change of his or her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18" w:name="Bookmark__3"/>
      <w:bookmarkEnd w:id="18"/>
      <w:r>
        <w:rPr>
          <w:rFonts w:ascii="times" w:eastAsia="times" w:hAnsi="times" w:cs="times"/>
          <w:b w:val="0"/>
          <w:i w:val="0"/>
          <w:strike w:val="0"/>
          <w:noProof w:val="0"/>
          <w:color w:val="000000"/>
          <w:position w:val="0"/>
          <w:sz w:val="24"/>
          <w:u w:val="none"/>
          <w:vertAlign w:val="baseline"/>
        </w:rPr>
        <w:t>“Owner” means the person who holds legal or equitable title to a trade secret.</w:t>
      </w:r>
    </w:p>
    <w:p>
      <w:pPr>
        <w:keepNext w:val="0"/>
        <w:spacing w:before="120" w:after="0" w:line="300" w:lineRule="atLeast"/>
        <w:ind w:left="1080" w:right="0"/>
        <w:jc w:val="left"/>
      </w:pPr>
      <w:r>
        <w:rPr>
          <w:b/>
        </w:rPr>
        <w:t xml:space="preserve">4.  </w:t>
      </w:r>
      <w:bookmarkStart w:id="19" w:name="Bookmark__4"/>
      <w:bookmarkEnd w:id="19"/>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5.  </w:t>
      </w:r>
      <w:bookmarkStart w:id="20" w:name="Bookmark__5"/>
      <w:bookmarkEnd w:id="20"/>
      <w:r>
        <w:rPr>
          <w:rFonts w:ascii="times" w:eastAsia="times" w:hAnsi="times" w:cs="times"/>
          <w:b w:val="0"/>
          <w:i w:val="0"/>
          <w:strike w:val="0"/>
          <w:noProof w:val="0"/>
          <w:color w:val="000000"/>
          <w:position w:val="0"/>
          <w:sz w:val="24"/>
          <w:u w:val="none"/>
          <w:vertAlign w:val="baseline"/>
        </w:rPr>
        <w:t>“Trade secret”:</w:t>
      </w:r>
    </w:p>
    <w:p>
      <w:pPr>
        <w:keepNext w:val="0"/>
        <w:spacing w:before="120" w:after="0" w:line="300" w:lineRule="atLeast"/>
        <w:ind w:left="1440" w:right="0"/>
        <w:jc w:val="left"/>
      </w:pPr>
      <w:r>
        <w:rPr>
          <w:b/>
        </w:rPr>
        <w:t xml:space="preserve">(a)  </w:t>
      </w:r>
      <w:bookmarkStart w:id="21" w:name="Bookmark__5_a"/>
      <w:bookmarkEnd w:id="21"/>
      <w:r>
        <w:rPr>
          <w:rFonts w:ascii="times" w:eastAsia="times" w:hAnsi="times" w:cs="times"/>
          <w:b w:val="0"/>
          <w:i w:val="0"/>
          <w:strike w:val="0"/>
          <w:noProof w:val="0"/>
          <w:color w:val="000000"/>
          <w:position w:val="0"/>
          <w:sz w:val="24"/>
          <w:u w:val="none"/>
          <w:vertAlign w:val="baseline"/>
        </w:rPr>
        <w:t>Means information, including, without limitation, a formula, pattern, compilation, program, device, method, technique, product, system, process, design, prototype, procedure, computer programming instruction or code that:</w:t>
      </w:r>
    </w:p>
    <w:p>
      <w:pPr>
        <w:keepNext w:val="0"/>
        <w:spacing w:before="120" w:after="0" w:line="300" w:lineRule="atLeast"/>
        <w:ind w:left="1800" w:right="0"/>
        <w:jc w:val="left"/>
      </w:pPr>
      <w:r>
        <w:rPr>
          <w:b/>
        </w:rPr>
        <w:t xml:space="preserve">(1)  </w:t>
      </w:r>
      <w:bookmarkStart w:id="22" w:name="Bookmark__5_a_1"/>
      <w:bookmarkEnd w:id="22"/>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the public or any other persons who can obtain commercial or economic value from its disclosure or use; and</w:t>
      </w:r>
    </w:p>
    <w:p>
      <w:pPr>
        <w:keepNext w:val="0"/>
        <w:spacing w:before="120" w:after="0" w:line="300" w:lineRule="atLeast"/>
        <w:ind w:left="1800" w:right="0"/>
        <w:jc w:val="left"/>
      </w:pPr>
      <w:r>
        <w:rPr>
          <w:b/>
        </w:rPr>
        <w:t xml:space="preserve">(2)  </w:t>
      </w:r>
      <w:bookmarkStart w:id="23" w:name="Bookmark__5_a_2"/>
      <w:bookmarkEnd w:id="23"/>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val="0"/>
        <w:spacing w:before="120" w:after="0" w:line="300" w:lineRule="atLeast"/>
        <w:ind w:left="1440" w:right="0"/>
        <w:jc w:val="left"/>
      </w:pPr>
      <w:r>
        <w:rPr>
          <w:b/>
        </w:rPr>
        <w:t xml:space="preserve">(b)  </w:t>
      </w:r>
      <w:bookmarkStart w:id="24" w:name="Bookmark__5_b"/>
      <w:bookmarkEnd w:id="24"/>
      <w:r>
        <w:rPr>
          <w:rFonts w:ascii="times" w:eastAsia="times" w:hAnsi="times" w:cs="times"/>
          <w:b w:val="0"/>
          <w:i w:val="0"/>
          <w:strike w:val="0"/>
          <w:noProof w:val="0"/>
          <w:color w:val="000000"/>
          <w:position w:val="0"/>
          <w:sz w:val="24"/>
          <w:u w:val="none"/>
          <w:vertAlign w:val="baseline"/>
        </w:rPr>
        <w:t>Does not include any information that a manufacturer is required to report pursuant to NRS 439B.635 or 439B.640, information that a pharmaceutical sales representative is required to report pursuant to NRS 439B.660, information that a pharmacy benefit manager is required to report pursuant to NRS 439B.645 or information that a wholesaler is required to report pursuant to NRS 439B.642 to the extent that such information is required to be disclosed by those sections.</w:t>
      </w:r>
    </w:p>
    <w:p>
      <w:pPr>
        <w:keepNext/>
        <w:spacing w:before="240" w:after="0" w:line="340" w:lineRule="atLeast"/>
        <w:ind w:left="0" w:right="0" w:firstLine="0"/>
        <w:jc w:val="left"/>
      </w:pPr>
      <w:bookmarkStart w:id="25" w:name="History"/>
      <w:bookmarkEnd w:id="2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1987, ch. 15, § 4, p. 20; 1993, ch. 649, § 58, p. 2802; 1999, ch. 449, § 2, p. 2101; 2017, ch. 592, § 9, p. 4306, effective October 1, 2017; 2021, ch. 547, § 19, p. 3730, effective October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600A.030.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600A.030.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225571959</vt:lpwstr>
  </property>
  <property fmtid="{D5CDD505-2E9C-101B-9397-08002B2CF9AE}" pid="3" name="LADocCount">
    <vt:lpwstr>1</vt:lpwstr>
  </property>
  <property fmtid="{D5CDD505-2E9C-101B-9397-08002B2CF9AE}" pid="4" name="LADocumentID:urn:contentItem:62XR-T4F3-CH1B-T2DY-00000-00">
    <vt:lpwstr>Doc::/shared/document|contextualFeaturePermID::1519360</vt:lpwstr>
  </property>
  <property fmtid="{D5CDD505-2E9C-101B-9397-08002B2CF9AE}" pid="5" name="UserPermID">
    <vt:lpwstr>urn:user:PA186163333</vt:lpwstr>
  </property>
</Properties>
</file>