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91-A:5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VI Public Officers and Employees (Chs. 91 — 103)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91-A Access to Governmental Records and Meetings (§§ 91-A:1 — 91-A:15)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91-A:5.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governmental records are exempted from the provisions of this chapter:</w:t>
      </w:r>
    </w:p>
    <w:p>
      <w:pPr>
        <w:keepNext w:val="0"/>
        <w:spacing w:before="120" w:after="0" w:line="300" w:lineRule="atLeast"/>
        <w:ind w:left="108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Records of grand and petit juries.</w:t>
      </w:r>
    </w:p>
    <w:p>
      <w:pPr>
        <w:keepNext w:val="0"/>
        <w:spacing w:before="120" w:after="0" w:line="300" w:lineRule="atLeast"/>
        <w:ind w:left="1080" w:right="0"/>
        <w:jc w:val="left"/>
      </w:pPr>
      <w:r>
        <w:rPr>
          <w:b/>
        </w:rPr>
        <w:t xml:space="preserve">I-a.  </w:t>
      </w:r>
      <w:bookmarkStart w:id="2" w:name="Bookmark__i-a"/>
      <w:bookmarkEnd w:id="2"/>
      <w:r>
        <w:rPr>
          <w:rFonts w:ascii="times" w:eastAsia="times" w:hAnsi="times" w:cs="times"/>
          <w:b w:val="0"/>
          <w:i w:val="0"/>
          <w:strike w:val="0"/>
          <w:noProof w:val="0"/>
          <w:color w:val="000000"/>
          <w:position w:val="0"/>
          <w:sz w:val="24"/>
          <w:u w:val="none"/>
          <w:vertAlign w:val="baseline"/>
        </w:rPr>
        <w:t>The master jury list as defined in RSA 500-A:1, IV.</w:t>
      </w:r>
    </w:p>
    <w:p>
      <w:pPr>
        <w:keepNext w:val="0"/>
        <w:spacing w:before="120" w:after="0" w:line="300" w:lineRule="atLeast"/>
        <w:ind w:left="1080" w:right="0"/>
        <w:jc w:val="left"/>
      </w:pPr>
      <w:r>
        <w:rPr>
          <w:b/>
        </w:rPr>
        <w:t xml:space="preserve">II.  </w:t>
      </w:r>
      <w:bookmarkStart w:id="3" w:name="Bookmark__ii"/>
      <w:bookmarkEnd w:id="3"/>
      <w:r>
        <w:rPr>
          <w:rFonts w:ascii="times" w:eastAsia="times" w:hAnsi="times" w:cs="times"/>
          <w:b w:val="0"/>
          <w:i w:val="0"/>
          <w:strike w:val="0"/>
          <w:noProof w:val="0"/>
          <w:color w:val="000000"/>
          <w:position w:val="0"/>
          <w:sz w:val="24"/>
          <w:u w:val="none"/>
          <w:vertAlign w:val="baseline"/>
        </w:rPr>
        <w:t>Records of parole and pardon boards.</w:t>
      </w:r>
    </w:p>
    <w:p>
      <w:pPr>
        <w:keepNext w:val="0"/>
        <w:spacing w:before="120" w:after="0" w:line="300" w:lineRule="atLeast"/>
        <w:ind w:left="1080" w:right="0"/>
        <w:jc w:val="left"/>
      </w:pPr>
      <w:r>
        <w:rPr>
          <w:b/>
        </w:rPr>
        <w:t xml:space="preserve">III.  </w:t>
      </w:r>
      <w:bookmarkStart w:id="4" w:name="Bookmark__iii"/>
      <w:bookmarkEnd w:id="4"/>
      <w:r>
        <w:rPr>
          <w:rFonts w:ascii="times" w:eastAsia="times" w:hAnsi="times" w:cs="times"/>
          <w:b w:val="0"/>
          <w:i w:val="0"/>
          <w:strike w:val="0"/>
          <w:noProof w:val="0"/>
          <w:color w:val="000000"/>
          <w:position w:val="0"/>
          <w:sz w:val="24"/>
          <w:u w:val="none"/>
          <w:vertAlign w:val="baseline"/>
        </w:rPr>
        <w:t>Personal school records of pupils, including the name of the parent or legal guardian and any specific reasons disclosed to school officials for the objection to the assessment under RSA 193-C:6.</w:t>
      </w:r>
    </w:p>
    <w:p>
      <w:pPr>
        <w:keepNext w:val="0"/>
        <w:spacing w:before="120" w:after="0" w:line="300" w:lineRule="atLeast"/>
        <w:ind w:left="1080" w:right="0"/>
        <w:jc w:val="left"/>
      </w:pPr>
      <w:r>
        <w:rPr>
          <w:b/>
        </w:rPr>
        <w:t xml:space="preserve">IV.  </w:t>
      </w:r>
      <w:bookmarkStart w:id="5" w:name="Bookmark__iv"/>
      <w:bookmarkEnd w:id="5"/>
      <w:r>
        <w:rPr>
          <w:rFonts w:ascii="times" w:eastAsia="times" w:hAnsi="times" w:cs="times"/>
          <w:b w:val="0"/>
          <w:i w:val="0"/>
          <w:strike w:val="0"/>
          <w:noProof w:val="0"/>
          <w:color w:val="000000"/>
          <w:position w:val="0"/>
          <w:sz w:val="24"/>
          <w:u w:val="none"/>
          <w:vertAlign w:val="baseline"/>
        </w:rPr>
        <w:t>Records pertaining to internal personnel practices; confidential, commercial, or financial information; test questions, scoring keys, and other examination data used to administer a licensing examination, examination for employment, or academic examinations; and personnel, medical, welfare, library user, videotape sale or rental, and other files whose disclosure would constitute invasion of privacy. Without otherwise compromising the confidentiality of the files, nothing in this paragraph shall prohibit a public body or agency from releasing information relative to health or safety from investigative files on a limited basis to persons whose health or safety may be affected.</w:t>
      </w:r>
    </w:p>
    <w:p>
      <w:pPr>
        <w:keepNext w:val="0"/>
        <w:spacing w:before="120" w:after="0" w:line="300" w:lineRule="atLeast"/>
        <w:ind w:left="1080" w:right="0"/>
        <w:jc w:val="left"/>
      </w:pPr>
      <w:r>
        <w:rPr>
          <w:b/>
        </w:rPr>
        <w:t xml:space="preserve">V.  </w:t>
      </w:r>
      <w:bookmarkStart w:id="6" w:name="Bookmark__v"/>
      <w:bookmarkEnd w:id="6"/>
      <w:r>
        <w:rPr>
          <w:rFonts w:ascii="times" w:eastAsia="times" w:hAnsi="times" w:cs="times"/>
          <w:b w:val="0"/>
          <w:i w:val="0"/>
          <w:strike w:val="0"/>
          <w:noProof w:val="0"/>
          <w:color w:val="000000"/>
          <w:position w:val="0"/>
          <w:sz w:val="24"/>
          <w:u w:val="none"/>
          <w:vertAlign w:val="baseline"/>
        </w:rPr>
        <w:t>Teacher certification records in the department of education, provided that the department shall make available teacher certification status information.</w:t>
      </w:r>
    </w:p>
    <w:p>
      <w:pPr>
        <w:keepNext w:val="0"/>
        <w:spacing w:before="120" w:after="0" w:line="300" w:lineRule="atLeast"/>
        <w:ind w:left="1080" w:right="0"/>
        <w:jc w:val="left"/>
      </w:pPr>
      <w:r>
        <w:rPr>
          <w:b/>
        </w:rPr>
        <w:t xml:space="preserve">VI.  </w:t>
      </w:r>
      <w:bookmarkStart w:id="7" w:name="Bookmark__vi"/>
      <w:bookmarkEnd w:id="7"/>
      <w:r>
        <w:rPr>
          <w:rFonts w:ascii="times" w:eastAsia="times" w:hAnsi="times" w:cs="times"/>
          <w:b w:val="0"/>
          <w:i w:val="0"/>
          <w:strike w:val="0"/>
          <w:noProof w:val="0"/>
          <w:color w:val="000000"/>
          <w:position w:val="0"/>
          <w:sz w:val="24"/>
          <w:u w:val="none"/>
          <w:vertAlign w:val="baseline"/>
        </w:rPr>
        <w:t>Records pertaining to matters relating to the preparation for and the carrying out of all emergency functions, including training to carry out such functions, developed by local or state safety officials that are directly intended to thwart a deliberate act that is intended to result in widespread or severe damage to property or widespread injury or loss of life.</w:t>
      </w:r>
    </w:p>
    <w:p>
      <w:pPr>
        <w:keepNext w:val="0"/>
        <w:spacing w:before="120" w:after="0" w:line="300" w:lineRule="atLeast"/>
        <w:ind w:left="1080" w:right="0"/>
        <w:jc w:val="left"/>
      </w:pPr>
      <w:r>
        <w:rPr>
          <w:b/>
        </w:rPr>
        <w:t xml:space="preserve">VII.  </w:t>
      </w:r>
      <w:bookmarkStart w:id="8" w:name="Bookmark__vii"/>
      <w:bookmarkEnd w:id="8"/>
      <w:r>
        <w:rPr>
          <w:rFonts w:ascii="times" w:eastAsia="times" w:hAnsi="times" w:cs="times"/>
          <w:b w:val="0"/>
          <w:i w:val="0"/>
          <w:strike w:val="0"/>
          <w:noProof w:val="0"/>
          <w:color w:val="000000"/>
          <w:position w:val="0"/>
          <w:sz w:val="24"/>
          <w:u w:val="none"/>
          <w:vertAlign w:val="baseline"/>
        </w:rPr>
        <w:t>Unique pupil identification information collected in accordance with RSA 193-E:5.</w:t>
      </w:r>
    </w:p>
    <w:p>
      <w:pPr>
        <w:keepNext w:val="0"/>
        <w:spacing w:before="120" w:after="0" w:line="300" w:lineRule="atLeast"/>
        <w:ind w:left="1080" w:right="0"/>
        <w:jc w:val="left"/>
      </w:pPr>
      <w:r>
        <w:rPr>
          <w:b/>
        </w:rPr>
        <w:t xml:space="preserve">VIII.  </w:t>
      </w:r>
      <w:bookmarkStart w:id="9" w:name="Bookmark__viii"/>
      <w:bookmarkEnd w:id="9"/>
      <w:r>
        <w:rPr>
          <w:rFonts w:ascii="times" w:eastAsia="times" w:hAnsi="times" w:cs="times"/>
          <w:b w:val="0"/>
          <w:i w:val="0"/>
          <w:strike w:val="0"/>
          <w:noProof w:val="0"/>
          <w:color w:val="000000"/>
          <w:position w:val="0"/>
          <w:sz w:val="24"/>
          <w:u w:val="none"/>
          <w:vertAlign w:val="baseline"/>
        </w:rPr>
        <w:t>Any notes or other materials made for personal use that do not have an official purpose, including but not limited to, notes and materials made prior to, during, or after a governmental proceeding.</w:t>
      </w:r>
    </w:p>
    <w:p>
      <w:pPr>
        <w:keepNext w:val="0"/>
        <w:spacing w:before="120" w:after="0" w:line="300" w:lineRule="atLeast"/>
        <w:ind w:left="1080" w:right="0"/>
        <w:jc w:val="left"/>
      </w:pPr>
      <w:r>
        <w:rPr>
          <w:b/>
        </w:rPr>
        <w:t xml:space="preserve">IX.  </w:t>
      </w:r>
      <w:bookmarkStart w:id="10" w:name="Bookmark__ix"/>
      <w:bookmarkEnd w:id="10"/>
      <w:r>
        <w:rPr>
          <w:rFonts w:ascii="times" w:eastAsia="times" w:hAnsi="times" w:cs="times"/>
          <w:b w:val="0"/>
          <w:i w:val="0"/>
          <w:strike w:val="0"/>
          <w:noProof w:val="0"/>
          <w:color w:val="000000"/>
          <w:position w:val="0"/>
          <w:sz w:val="24"/>
          <w:u w:val="none"/>
          <w:vertAlign w:val="baseline"/>
        </w:rPr>
        <w:t>Preliminary drafts, notes, and memoranda and other documents not in their final form and not disclosed, circulated, or available to a quorum or a majority of the members of a public body.</w:t>
      </w:r>
    </w:p>
    <w:p>
      <w:pPr>
        <w:keepNext w:val="0"/>
        <w:spacing w:before="120" w:after="0" w:line="300" w:lineRule="atLeast"/>
        <w:ind w:left="1080" w:right="0"/>
        <w:jc w:val="left"/>
      </w:pPr>
      <w:r>
        <w:rPr>
          <w:b/>
        </w:rPr>
        <w:t xml:space="preserve">X.  </w:t>
      </w:r>
      <w:bookmarkStart w:id="11" w:name="Bookmark__x"/>
      <w:bookmarkEnd w:id="11"/>
      <w:r>
        <w:rPr>
          <w:rFonts w:ascii="times" w:eastAsia="times" w:hAnsi="times" w:cs="times"/>
          <w:b w:val="0"/>
          <w:i w:val="0"/>
          <w:strike w:val="0"/>
          <w:noProof w:val="0"/>
          <w:color w:val="000000"/>
          <w:position w:val="0"/>
          <w:sz w:val="24"/>
          <w:u w:val="none"/>
          <w:vertAlign w:val="baseline"/>
        </w:rPr>
        <w:t>Video and audio recordings made by a law enforcement officer using a body-worn camera pursuant to RSA 105-D except where such recordings depict any of the following:</w:t>
      </w:r>
    </w:p>
    <w:p>
      <w:pPr>
        <w:keepNext w:val="0"/>
        <w:spacing w:before="120" w:after="0" w:line="300" w:lineRule="atLeast"/>
        <w:ind w:left="1440" w:right="0"/>
        <w:jc w:val="left"/>
      </w:pPr>
      <w:r>
        <w:rPr>
          <w:b/>
        </w:rPr>
        <w:t xml:space="preserve">(a)  </w:t>
      </w:r>
      <w:bookmarkStart w:id="12" w:name="Bookmark__x_a"/>
      <w:bookmarkEnd w:id="12"/>
      <w:r>
        <w:rPr>
          <w:rFonts w:ascii="times" w:eastAsia="times" w:hAnsi="times" w:cs="times"/>
          <w:b w:val="0"/>
          <w:i w:val="0"/>
          <w:strike w:val="0"/>
          <w:noProof w:val="0"/>
          <w:color w:val="000000"/>
          <w:position w:val="0"/>
          <w:sz w:val="24"/>
          <w:u w:val="none"/>
          <w:vertAlign w:val="baseline"/>
        </w:rPr>
        <w:t>Any restraint or use of force by a law enforcement officer; provided, however, that this exemption shall not include those portions of recordings which constitute an invasion of privacy of any person or which are otherwise exempt from disclosure.</w:t>
      </w:r>
    </w:p>
    <w:p>
      <w:pPr>
        <w:keepNext w:val="0"/>
        <w:spacing w:before="120" w:after="0" w:line="300" w:lineRule="atLeast"/>
        <w:ind w:left="1440" w:right="0"/>
        <w:jc w:val="left"/>
      </w:pPr>
      <w:r>
        <w:rPr>
          <w:b/>
        </w:rPr>
        <w:t xml:space="preserve">(b)  </w:t>
      </w:r>
      <w:bookmarkStart w:id="13" w:name="Bookmark__x_b"/>
      <w:bookmarkEnd w:id="13"/>
      <w:r>
        <w:rPr>
          <w:rFonts w:ascii="times" w:eastAsia="times" w:hAnsi="times" w:cs="times"/>
          <w:b w:val="0"/>
          <w:i w:val="0"/>
          <w:strike w:val="0"/>
          <w:noProof w:val="0"/>
          <w:color w:val="000000"/>
          <w:position w:val="0"/>
          <w:sz w:val="24"/>
          <w:u w:val="none"/>
          <w:vertAlign w:val="baseline"/>
        </w:rPr>
        <w:t>The discharge of a firearm, provided that this exemption shall not include those portions of recordings which constitute an invasion of privacy of any person or which are otherwise exempt from disclosure.</w:t>
      </w:r>
    </w:p>
    <w:p>
      <w:pPr>
        <w:keepNext w:val="0"/>
        <w:spacing w:before="120" w:after="0" w:line="300" w:lineRule="atLeast"/>
        <w:ind w:left="1440" w:right="0"/>
        <w:jc w:val="left"/>
      </w:pPr>
      <w:r>
        <w:rPr>
          <w:b/>
        </w:rPr>
        <w:t xml:space="preserve">(c)  </w:t>
      </w:r>
      <w:bookmarkStart w:id="14" w:name="Bookmark__x_c"/>
      <w:bookmarkEnd w:id="14"/>
      <w:r>
        <w:rPr>
          <w:rFonts w:ascii="times" w:eastAsia="times" w:hAnsi="times" w:cs="times"/>
          <w:b w:val="0"/>
          <w:i w:val="0"/>
          <w:strike w:val="0"/>
          <w:noProof w:val="0"/>
          <w:color w:val="000000"/>
          <w:position w:val="0"/>
          <w:sz w:val="24"/>
          <w:u w:val="none"/>
          <w:vertAlign w:val="baseline"/>
        </w:rPr>
        <w:t>An encounter that results in an arrest for a felony-level offense, provided, however, that this exemption shall not apply to recordings or portions thereof that constitute an invasion of privacy or which are otherwise exempt from disclosure.</w:t>
      </w:r>
    </w:p>
    <w:p>
      <w:pPr>
        <w:keepNext w:val="0"/>
        <w:spacing w:before="120" w:after="0" w:line="300" w:lineRule="atLeast"/>
        <w:ind w:left="1080" w:right="0"/>
        <w:jc w:val="left"/>
      </w:pPr>
      <w:r>
        <w:rPr>
          <w:b/>
        </w:rPr>
        <w:t xml:space="preserve">XI.  </w:t>
      </w:r>
      <w:bookmarkStart w:id="15" w:name="Bookmark__xi"/>
      <w:bookmarkEnd w:id="15"/>
      <w:r>
        <w:rPr>
          <w:rFonts w:ascii="times" w:eastAsia="times" w:hAnsi="times" w:cs="times"/>
          <w:b w:val="0"/>
          <w:i w:val="0"/>
          <w:strike w:val="0"/>
          <w:noProof w:val="0"/>
          <w:color w:val="000000"/>
          <w:position w:val="0"/>
          <w:sz w:val="24"/>
          <w:u w:val="none"/>
          <w:vertAlign w:val="baseline"/>
        </w:rPr>
        <w:t xml:space="preserve">Records pertaining to information technology systems, including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plans, vulnerability testing and assessments materials, detailed network diagrams, or other materials, the release of which would make public security details that would aid an attempted security breach or circumvention of law as to the items assessed.</w:t>
      </w:r>
    </w:p>
    <w:p>
      <w:pPr>
        <w:keepNext w:val="0"/>
        <w:spacing w:before="120" w:after="0" w:line="300" w:lineRule="atLeast"/>
        <w:ind w:left="1080" w:right="0"/>
        <w:jc w:val="left"/>
      </w:pPr>
      <w:r>
        <w:rPr>
          <w:b/>
        </w:rPr>
        <w:t xml:space="preserve">XII.  </w:t>
      </w:r>
      <w:bookmarkStart w:id="16" w:name="Bookmark__xii"/>
      <w:bookmarkEnd w:id="16"/>
      <w:r>
        <w:rPr>
          <w:rFonts w:ascii="times" w:eastAsia="times" w:hAnsi="times" w:cs="times"/>
          <w:b w:val="0"/>
          <w:i w:val="0"/>
          <w:strike w:val="0"/>
          <w:noProof w:val="0"/>
          <w:color w:val="000000"/>
          <w:position w:val="0"/>
          <w:sz w:val="24"/>
          <w:u w:val="none"/>
          <w:vertAlign w:val="baseline"/>
        </w:rPr>
        <w:t>Records protected under the attorney-client privilege or the attorney work product doctrine.</w:t>
      </w:r>
    </w:p>
    <w:p>
      <w:pPr>
        <w:keepNext w:val="0"/>
        <w:spacing w:before="120" w:after="0" w:line="300" w:lineRule="atLeast"/>
        <w:ind w:left="1080" w:right="0"/>
        <w:jc w:val="left"/>
      </w:pPr>
      <w:r>
        <w:rPr>
          <w:b/>
        </w:rPr>
        <w:t xml:space="preserve">XIII.  </w:t>
      </w:r>
      <w:bookmarkStart w:id="17" w:name="Bookmark__xiii"/>
      <w:bookmarkEnd w:id="17"/>
      <w:r>
        <w:rPr>
          <w:rFonts w:ascii="times" w:eastAsia="times" w:hAnsi="times" w:cs="times"/>
          <w:b w:val="0"/>
          <w:i w:val="0"/>
          <w:strike w:val="0"/>
          <w:noProof w:val="0"/>
          <w:color w:val="000000"/>
          <w:position w:val="0"/>
          <w:sz w:val="24"/>
          <w:u w:val="none"/>
          <w:vertAlign w:val="baseline"/>
        </w:rPr>
        <w:t>Records of the youth development center claims administration and the YDC settlement fund pursuant to RSA 21-M:11-a, with the exception of settlement agreements, which shall remain subject to RSA 91-A:4, VI, and, after a claim has been finally resolved, such other records the release of which would not constitute a violation of other provisions of law or an unwarranted invasion of a claimant’s privacy.</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1967, 251:1; 1986, 83:6; 1989, 184:2; 1990, 134:1; 1993, 79:1, eff. June 22, 1993; 2002, 222:4, eff. Jan. 1, 2003; 2004, 147:5, eff. Aug. 1, 2004; 246:3, 4, eff. Aug. 14, 2004; 2008, 303:4, eff. July 1, 2008; 2013, 261:9, eff. July 1, 2013; 2016, 322:3, effective January 1, 2017; 2018, 91:2, effective July 24, 2018; 2019, 54:1, effective August 4, 2019; 2021, 163:2, effective July 30, 2021; 2022, 122:3, effective May 27,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91-A:5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91-A:5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