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52:18A-233.4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State Government, Departments and Officers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Executive and Administrative Departments (Chs. 14 — 27J)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18A. Department of the Treasury (§§ 52:18A-1 — 52:18A-270)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52:18A-233.4. Information technology modernization and improvement plan submission, Chief Technology Officer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Chief Technology Officer is authorized to request that any agency submit a plan in accordance with this subsection. Not later than one year following the date on which the Chief Technology Officer requests such plan, the agency shall develop and submit to the Chief Technology Officer an information technology modernization and improvement plan. The plan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describe how the agency will improve the provision of digital services by leveraging data analytics and related tools to ensure an effective rendering of all publicly facing websites on mobile devices, increasing the use of data analytics to improve website operation, enhancing the delivery of digital services through the adoption of commercial cloud computing services, promoting the use of intuitive and adaptive electronic forms (HTML Living Standard), utilizing electronic signatures, and digitizing government processes and workflows;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outline a process to be utilized by the agency to ensure that each State website intended for public use is mobile-friendly and accessible by persons with disabilities within one year following the submission of each agency’s plan; and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be developed within the limits of fiscal and other resources available to the agency. Each agency shall make its plan available to the public electronically through a link displayed on its website, except that the agency may redact such information as necessary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concerns.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 Chief Technology Officer shall review the plans submitted pursuant to subsection a. of this section in collaboration with the Chief Innovation Officer for the State of New Jersey.</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392, § 4, effective January 18,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52:18A-233.4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52:18A-233.4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