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51D47" w14:textId="77777777" w:rsidR="00931DF2" w:rsidRDefault="00931DF2">
      <w:pPr>
        <w:sectPr w:rsidR="00931DF2">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03105E2" w14:textId="77777777" w:rsidR="00931DF2" w:rsidRDefault="00931DF2"/>
    <w:p w14:paraId="63BB87D1" w14:textId="77777777" w:rsidR="00931DF2" w:rsidRDefault="0017521B">
      <w:pPr>
        <w:pStyle w:val="Heading1"/>
        <w:keepNext w:val="0"/>
        <w:spacing w:after="200" w:line="340" w:lineRule="atLeast"/>
        <w:jc w:val="center"/>
      </w:pPr>
      <w:r>
        <w:rPr>
          <w:rFonts w:ascii="Times" w:eastAsia="Times" w:hAnsi="Times" w:cs="Times"/>
          <w:color w:val="000000"/>
          <w:sz w:val="28"/>
        </w:rPr>
        <w:t xml:space="preserve">N.M. Stat. Ann. § 57-12C-5 </w:t>
      </w:r>
    </w:p>
    <w:p w14:paraId="2C56392A" w14:textId="77777777" w:rsidR="00931DF2" w:rsidRDefault="0017521B">
      <w:pPr>
        <w:spacing w:before="120" w:line="300" w:lineRule="atLeast"/>
        <w:jc w:val="center"/>
      </w:pPr>
      <w:r>
        <w:rPr>
          <w:rFonts w:ascii="Times" w:eastAsia="Times" w:hAnsi="Times" w:cs="Times"/>
          <w:color w:val="000000"/>
        </w:rPr>
        <w:t xml:space="preserve"> Current through all chaptered acts of the 2024 Regular Session. </w:t>
      </w:r>
    </w:p>
    <w:p w14:paraId="02DBCABE" w14:textId="77777777" w:rsidR="00931DF2" w:rsidRDefault="00931DF2">
      <w:pPr>
        <w:spacing w:line="240" w:lineRule="atLeast"/>
        <w:jc w:val="both"/>
      </w:pPr>
      <w:bookmarkStart w:id="1" w:name="Bookmark_5"/>
      <w:bookmarkEnd w:id="1"/>
    </w:p>
    <w:p w14:paraId="44FD7D44" w14:textId="77777777" w:rsidR="00931DF2" w:rsidRDefault="0017521B">
      <w:pPr>
        <w:spacing w:before="200" w:line="280" w:lineRule="atLeast"/>
      </w:pPr>
      <w:r>
        <w:rPr>
          <w:rFonts w:ascii="Times" w:eastAsia="Times" w:hAnsi="Times" w:cs="Times"/>
          <w:b/>
          <w:i/>
          <w:color w:val="000000"/>
          <w:sz w:val="22"/>
        </w:rPr>
        <w:t>Michie’s ™ Annotated Statutes of New Mexico</w:t>
      </w:r>
      <w:r>
        <w:rPr>
          <w:rFonts w:ascii="Times" w:eastAsia="Times" w:hAnsi="Times" w:cs="Times"/>
          <w:b/>
          <w:color w:val="000000"/>
          <w:sz w:val="22"/>
        </w:rPr>
        <w:t xml:space="preserve">  &gt;  </w:t>
      </w:r>
      <w:r>
        <w:rPr>
          <w:rFonts w:ascii="Times" w:eastAsia="Times" w:hAnsi="Times" w:cs="Times"/>
          <w:b/>
          <w:i/>
          <w:color w:val="000000"/>
          <w:sz w:val="22"/>
        </w:rPr>
        <w:t>Chapter 57 Trade Practices and Regulations (Arts. 1 — 32)</w:t>
      </w:r>
      <w:r>
        <w:rPr>
          <w:rFonts w:ascii="Times" w:eastAsia="Times" w:hAnsi="Times" w:cs="Times"/>
          <w:b/>
          <w:color w:val="000000"/>
          <w:sz w:val="22"/>
        </w:rPr>
        <w:t xml:space="preserve">  &gt;  </w:t>
      </w:r>
      <w:r>
        <w:rPr>
          <w:rFonts w:ascii="Times" w:eastAsia="Times" w:hAnsi="Times" w:cs="Times"/>
          <w:b/>
          <w:i/>
          <w:color w:val="000000"/>
          <w:sz w:val="22"/>
        </w:rPr>
        <w:t>Article 12C Data Breach Notification (§§ 57-12C-1 —</w:t>
      </w:r>
      <w:r>
        <w:rPr>
          <w:rFonts w:ascii="Times" w:eastAsia="Times" w:hAnsi="Times" w:cs="Times"/>
          <w:b/>
          <w:i/>
          <w:color w:val="000000"/>
          <w:sz w:val="22"/>
        </w:rPr>
        <w:t xml:space="preserve"> 57-12C-12)</w:t>
      </w:r>
    </w:p>
    <w:p w14:paraId="4BBB73EB" w14:textId="77777777" w:rsidR="00931DF2" w:rsidRDefault="0017521B">
      <w:pPr>
        <w:keepNext/>
        <w:spacing w:before="240" w:line="340" w:lineRule="atLeast"/>
      </w:pPr>
      <w:r>
        <w:br/>
      </w:r>
      <w:r>
        <w:rPr>
          <w:rFonts w:ascii="Times" w:eastAsia="Times" w:hAnsi="Times" w:cs="Times"/>
          <w:b/>
          <w:color w:val="000000"/>
          <w:sz w:val="28"/>
        </w:rPr>
        <w:t>57-12C-5. Service provider use of personal identifying information; implementation of security measures.</w:t>
      </w:r>
    </w:p>
    <w:p w14:paraId="715AE386" w14:textId="33452B69" w:rsidR="00931DF2" w:rsidRDefault="0017521B">
      <w:pPr>
        <w:spacing w:line="60" w:lineRule="exact"/>
      </w:pPr>
      <w:r>
        <w:rPr>
          <w:noProof/>
        </w:rPr>
        <mc:AlternateContent>
          <mc:Choice Requires="wps">
            <w:drawing>
              <wp:anchor distT="0" distB="0" distL="114300" distR="114300" simplePos="0" relativeHeight="251658240" behindDoc="0" locked="0" layoutInCell="1" allowOverlap="1" wp14:anchorId="2486824D" wp14:editId="1033EE2F">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6CE0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6D76DC3" w14:textId="77777777" w:rsidR="00931DF2" w:rsidRDefault="00931DF2"/>
    <w:p w14:paraId="519AA2D6" w14:textId="77777777" w:rsidR="00931DF2" w:rsidRDefault="0017521B">
      <w:pPr>
        <w:spacing w:before="120" w:line="300" w:lineRule="atLeast"/>
        <w:ind w:left="720"/>
      </w:pPr>
      <w:r>
        <w:rPr>
          <w:rFonts w:ascii="Times" w:eastAsia="Times" w:hAnsi="Times" w:cs="Times"/>
          <w:color w:val="000000"/>
        </w:rPr>
        <w:t xml:space="preserve">A person that discloses personal identifying information of a New Mexico resident pursuant to a contract with a service provider shall </w:t>
      </w:r>
      <w:r>
        <w:rPr>
          <w:rFonts w:ascii="Times" w:eastAsia="Times" w:hAnsi="Times" w:cs="Times"/>
          <w:color w:val="000000"/>
        </w:rPr>
        <w:t>require by contract that the service provider implement and maintain reasonable security procedures and practices appropriate to the nature of the personal identifying information and to protect it from unauthorized access, destruction, use, modification o</w:t>
      </w:r>
      <w:r>
        <w:rPr>
          <w:rFonts w:ascii="Times" w:eastAsia="Times" w:hAnsi="Times" w:cs="Times"/>
          <w:color w:val="000000"/>
        </w:rPr>
        <w:t>r disclosure.</w:t>
      </w:r>
    </w:p>
    <w:p w14:paraId="3465D325" w14:textId="77777777" w:rsidR="00931DF2" w:rsidRDefault="0017521B">
      <w:pPr>
        <w:keepNext/>
        <w:spacing w:before="240" w:line="340" w:lineRule="atLeast"/>
      </w:pPr>
      <w:bookmarkStart w:id="2" w:name="History"/>
      <w:bookmarkEnd w:id="2"/>
      <w:r>
        <w:rPr>
          <w:rFonts w:ascii="Times" w:eastAsia="Times" w:hAnsi="Times" w:cs="Times"/>
          <w:b/>
          <w:color w:val="000000"/>
          <w:sz w:val="28"/>
        </w:rPr>
        <w:t>History</w:t>
      </w:r>
    </w:p>
    <w:p w14:paraId="4161FF65" w14:textId="6B31E32B" w:rsidR="00931DF2" w:rsidRDefault="0017521B">
      <w:pPr>
        <w:spacing w:line="60" w:lineRule="exact"/>
      </w:pPr>
      <w:r>
        <w:rPr>
          <w:noProof/>
        </w:rPr>
        <mc:AlternateContent>
          <mc:Choice Requires="wps">
            <w:drawing>
              <wp:anchor distT="0" distB="0" distL="114300" distR="114300" simplePos="0" relativeHeight="251659264" behindDoc="0" locked="0" layoutInCell="1" allowOverlap="1" wp14:anchorId="57419292" wp14:editId="240B93CD">
                <wp:simplePos x="0" y="0"/>
                <wp:positionH relativeFrom="column">
                  <wp:posOffset>0</wp:posOffset>
                </wp:positionH>
                <wp:positionV relativeFrom="paragraph">
                  <wp:posOffset>25400</wp:posOffset>
                </wp:positionV>
                <wp:extent cx="6502400" cy="0"/>
                <wp:effectExtent l="15875" t="15240" r="1587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2D19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678F8E12" w14:textId="77777777" w:rsidR="00931DF2" w:rsidRDefault="00931DF2"/>
    <w:p w14:paraId="094A3437" w14:textId="77777777" w:rsidR="00931DF2" w:rsidRDefault="0017521B">
      <w:pPr>
        <w:spacing w:before="120" w:line="300" w:lineRule="atLeast"/>
      </w:pPr>
      <w:r>
        <w:rPr>
          <w:rFonts w:ascii="Times" w:eastAsia="Times" w:hAnsi="Times" w:cs="Times"/>
          <w:color w:val="000000"/>
        </w:rPr>
        <w:t>2017, ch. 36, § 5, effective June 16, 2017.</w:t>
      </w:r>
    </w:p>
    <w:p w14:paraId="7EC1D621" w14:textId="77777777" w:rsidR="00931DF2" w:rsidRDefault="0017521B">
      <w:pPr>
        <w:spacing w:before="120" w:line="260" w:lineRule="atLeast"/>
      </w:pPr>
      <w:r>
        <w:br/>
      </w:r>
      <w:r>
        <w:rPr>
          <w:rFonts w:ascii="Times" w:eastAsia="Times" w:hAnsi="Times" w:cs="Times"/>
          <w:color w:val="000000"/>
          <w:sz w:val="20"/>
        </w:rPr>
        <w:t>Michie’s ™ Annotated Statutes of New Mexico</w:t>
      </w:r>
    </w:p>
    <w:p w14:paraId="6D409A02" w14:textId="77777777" w:rsidR="00931DF2" w:rsidRDefault="0017521B">
      <w:pPr>
        <w:spacing w:line="260" w:lineRule="atLeast"/>
      </w:pPr>
      <w:r>
        <w:rPr>
          <w:rFonts w:ascii="Times" w:eastAsia="Times" w:hAnsi="Times" w:cs="Times"/>
          <w:color w:val="000000"/>
          <w:sz w:val="20"/>
        </w:rPr>
        <w:t>Copyright © 2024 All rights reserved.</w:t>
      </w:r>
    </w:p>
    <w:p w14:paraId="62613FD4" w14:textId="77777777" w:rsidR="00931DF2" w:rsidRDefault="00931DF2"/>
    <w:p w14:paraId="47DA80A8" w14:textId="0463C11B" w:rsidR="00931DF2" w:rsidRDefault="0017521B">
      <w:pPr>
        <w:ind w:left="200"/>
      </w:pPr>
      <w:r>
        <w:br/>
      </w:r>
      <w:r>
        <w:rPr>
          <w:noProof/>
        </w:rPr>
        <mc:AlternateContent>
          <mc:Choice Requires="wps">
            <w:drawing>
              <wp:anchor distT="0" distB="0" distL="114300" distR="114300" simplePos="0" relativeHeight="251660288" behindDoc="0" locked="0" layoutInCell="1" allowOverlap="1" wp14:anchorId="09A0D9A3" wp14:editId="1B00AFC4">
                <wp:simplePos x="0" y="0"/>
                <wp:positionH relativeFrom="column">
                  <wp:posOffset>0</wp:posOffset>
                </wp:positionH>
                <wp:positionV relativeFrom="paragraph">
                  <wp:posOffset>127000</wp:posOffset>
                </wp:positionV>
                <wp:extent cx="6502400" cy="0"/>
                <wp:effectExtent l="6350" t="10795" r="6350" b="82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5A1F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rFonts w:ascii="Times" w:eastAsia="Times" w:hAnsi="Times" w:cs="Times"/>
          <w:b/>
          <w:color w:val="767676"/>
          <w:sz w:val="16"/>
        </w:rPr>
        <w:t>End of Document</w:t>
      </w:r>
    </w:p>
    <w:sectPr w:rsidR="00931DF2">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EB46A" w14:textId="77777777" w:rsidR="00000000" w:rsidRDefault="0017521B">
      <w:r>
        <w:separator/>
      </w:r>
    </w:p>
  </w:endnote>
  <w:endnote w:type="continuationSeparator" w:id="0">
    <w:p w14:paraId="7F42760A" w14:textId="77777777" w:rsidR="00000000" w:rsidRDefault="0017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931DF2" w14:paraId="1BC80A34" w14:textId="77777777">
      <w:trPr>
        <w:jc w:val="center"/>
      </w:trPr>
      <w:tc>
        <w:tcPr>
          <w:tcW w:w="2600" w:type="dxa"/>
          <w:tcMar>
            <w:top w:w="200" w:type="dxa"/>
          </w:tcMar>
          <w:vAlign w:val="center"/>
        </w:tcPr>
        <w:p w14:paraId="0B59E0A7" w14:textId="77777777" w:rsidR="00931DF2" w:rsidRDefault="00931DF2"/>
      </w:tc>
      <w:tc>
        <w:tcPr>
          <w:tcW w:w="4880" w:type="dxa"/>
          <w:tcMar>
            <w:top w:w="200" w:type="dxa"/>
          </w:tcMar>
          <w:vAlign w:val="center"/>
        </w:tcPr>
        <w:p w14:paraId="120C0E4F" w14:textId="77777777" w:rsidR="00931DF2" w:rsidRDefault="00931DF2"/>
      </w:tc>
      <w:tc>
        <w:tcPr>
          <w:tcW w:w="2600" w:type="dxa"/>
          <w:tcMar>
            <w:top w:w="200" w:type="dxa"/>
          </w:tcMar>
          <w:vAlign w:val="center"/>
        </w:tcPr>
        <w:p w14:paraId="738DA38B" w14:textId="77777777" w:rsidR="00931DF2" w:rsidRDefault="00931DF2"/>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87D79" w14:textId="77777777" w:rsidR="00931DF2" w:rsidRDefault="0017521B">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8D240" w14:textId="77777777" w:rsidR="00000000" w:rsidRDefault="0017521B">
      <w:r>
        <w:separator/>
      </w:r>
    </w:p>
  </w:footnote>
  <w:footnote w:type="continuationSeparator" w:id="0">
    <w:p w14:paraId="7C7A5A57" w14:textId="77777777" w:rsidR="00000000" w:rsidRDefault="00175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931DF2" w14:paraId="59A57F4B" w14:textId="77777777">
      <w:trPr>
        <w:jc w:val="center"/>
      </w:trPr>
      <w:tc>
        <w:tcPr>
          <w:tcW w:w="10080" w:type="dxa"/>
          <w:vAlign w:val="center"/>
        </w:tcPr>
        <w:p w14:paraId="1DEAF429" w14:textId="77777777" w:rsidR="00931DF2" w:rsidRDefault="0017521B">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end"/>
          </w:r>
        </w:p>
      </w:tc>
    </w:tr>
    <w:tr w:rsidR="00931DF2" w14:paraId="58307833" w14:textId="77777777">
      <w:trPr>
        <w:jc w:val="center"/>
      </w:trPr>
      <w:tc>
        <w:tcPr>
          <w:tcW w:w="10080" w:type="dxa"/>
        </w:tcPr>
        <w:p w14:paraId="3D113524" w14:textId="77777777" w:rsidR="00931DF2" w:rsidRDefault="0017521B">
          <w:pPr>
            <w:spacing w:before="60" w:after="200"/>
            <w:jc w:val="center"/>
          </w:pPr>
          <w:r>
            <w:rPr>
              <w:rFonts w:ascii="Times" w:eastAsia="Times" w:hAnsi="Times" w:cs="Times"/>
              <w:sz w:val="20"/>
            </w:rPr>
            <w:t>57-12C-5. Service provider use of personal identifying information; implementation of security measures.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17521B"/>
    <w:rsid w:val="00931DF2"/>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CEA466F"/>
  <w15:docId w15:val="{469DAB04-6996-4E72-B71A-06CBD611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F5057D92-EC9A-4349-BBB2-C7D22529C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889AE-5EED-4B40-BBBE-1ADB77BA2D52}">
  <ds:schemaRefs>
    <ds:schemaRef ds:uri="http://schemas.microsoft.com/sharepoint/v3/contenttype/forms"/>
  </ds:schemaRefs>
</ds:datastoreItem>
</file>

<file path=customXml/itemProps3.xml><?xml version="1.0" encoding="utf-8"?>
<ds:datastoreItem xmlns:ds="http://schemas.openxmlformats.org/officeDocument/2006/customXml" ds:itemID="{8ED5A3FB-F763-4D3D-9998-393A6C97D6C7}">
  <ds:schemaRefs>
    <ds:schemaRef ds:uri="http://purl.org/dc/elements/1.1/"/>
    <ds:schemaRef ds:uri="4e6a8aeb-c29e-4a8a-85db-b95bdfea3467"/>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55d6ef15-79d8-436f-a155-0c3446167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801</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57-12C-5. Service provider use of personal identifying information; implementation of security measures.</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57-12C-5. Service provider use of personal identifying information; implementation of security measures.</dc:title>
  <dc:creator>Trayce Hockstad</dc:creator>
  <cp:lastModifiedBy>Trayce Hockstad</cp:lastModifiedBy>
  <cp:revision>2</cp:revision>
  <dcterms:created xsi:type="dcterms:W3CDTF">2024-05-31T18:07:00Z</dcterms:created>
  <dcterms:modified xsi:type="dcterms:W3CDTF">2024-05-31T18:07:00Z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225577802</vt:lpwstr>
  </property>
  <property fmtid="{D5CDD505-2E9C-101B-9397-08002B2CF9AE}" pid="3" name="LADocCount">
    <vt:lpwstr>1</vt:lpwstr>
  </property>
  <property fmtid="{D5CDD505-2E9C-101B-9397-08002B2CF9AE}" pid="4" name="LADocumentID:urn:contentItem:8MXP-4FN2-D6RV-H1GV-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