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N.C. Gen. Stat. § 143B-1378</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Session Laws 2024-2 of the 2024 Regular Session of the General Assembly, but does not reflect possible future codification directives from the Revisor of Statutes pursuant to G.S. 164-10.</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General Statutes of North Carolina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143B. Executive Organization Act of 1973. (Arts. 1 — 16)</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15. Department of Information Technology. (Pts. 1 — 11)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7. Security of Information Technology. (§§ 143B-1375 — 143B-1384)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 143B-1378. Assessment of agency compliance with </w:t>
      </w:r>
      <w:r>
        <w:rPr>
          <w:rFonts w:ascii="times" w:eastAsia="times" w:hAnsi="times" w:cs="times"/>
          <w:b/>
          <w:i w:val="0"/>
          <w:strike w:val="0"/>
          <w:noProof w:val="0"/>
          <w:color w:val="000000"/>
          <w:position w:val="0"/>
          <w:sz w:val="28"/>
          <w:u w:val="none"/>
          <w:vertAlign w:val="baseline"/>
        </w:rPr>
        <w:t>cybersecurity</w:t>
      </w:r>
      <w:r>
        <w:rPr>
          <w:rFonts w:ascii="times" w:eastAsia="times" w:hAnsi="times" w:cs="times"/>
          <w:b/>
          <w:i w:val="0"/>
          <w:strike w:val="0"/>
          <w:noProof w:val="0"/>
          <w:color w:val="000000"/>
          <w:position w:val="0"/>
          <w:sz w:val="28"/>
          <w:u w:val="none"/>
          <w:vertAlign w:val="baseline"/>
        </w:rPr>
        <w:t xml:space="preserve"> standards.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 xml:space="preserve">At a minimum, the State CIO shall annually assess the ability of each State agency, and each agency’s contracted vendors, to comply with the current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enterprise-wide set of standards established pursuant to this section. The assessment shall include, at a minimum, the rate of compliance with the enterprise-wide security standards and an assessment of security organization, security practices, security information standards, network security architecture, and current expenditures of State funds for information technology security. The assessment of a State agency shall also estimate the initial cost to implement the security measures needed for agencies to fully comply with the standards as well as the costs over the lifecycle of the State agency information system. Each State agency shall submit information required by the State CIO for purposes of this assessment. The State CIO shall include the information obtained from the assessment in the State Information Technology Plan.</w:t>
      </w:r>
    </w:p>
    <w:p>
      <w:pPr>
        <w:keepNext/>
        <w:spacing w:before="240" w:after="0" w:line="340" w:lineRule="atLeast"/>
        <w:ind w:left="0" w:right="0" w:firstLine="0"/>
        <w:jc w:val="left"/>
      </w:pPr>
      <w:bookmarkStart w:id="1" w:name="History"/>
      <w:bookmarkEnd w:id="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2015-241, s. 7A.2(b); 2019-200, s. 6(g).</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General Statutes of North Carolina</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N.C. Gen. Stat. § 143B-1378</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Gen. Stat. § 143B-1378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