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2917.12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Crimes — Procedure (Chs. 2901 — 2981)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2917: Offenses Against the Public Peace (§§ 2917.01 — 2917.47)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Disorderly Conduct (§§ 2917.11 — 2917.20)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2917.12 Disturbing a lawful meeting.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 person, with purpose to prevent or disrupt a lawful meeting, procession, or gathering, shall do either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Do any act which obstructs or interferes with the due conduct of such meeting, procession, or gathering;</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Make any utterance, gesture, or display which outrages the sensibilities of the group.</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Whoever violates this section is guilty of disturbing a lawful meeting. Except as otherwise provided in this division, disturbing a lawful meeting is a misdemeanor of the fourth degree. Disturbing a lawful meeting is a misdemeanor of the first degree if either of the following applies:</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The violation is committed with the intent to disturb or disquiet any assemblage of people met for religious worship at a tax-exempt place of worship, regardless of whether the conduct is within the place at which the assemblage is held or is on the property on which that place is located and disturbs the order and solemnity of the assemblage.</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 xml:space="preserve">The violation is committed with the intent to prevent, disrupt, or interfere with a virtual meeting or gathering of people for religious worship, through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telecommunications device, or other electronic device or system, or in any other manner.</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and “telecommunications device” have the same meanings as in section 2913.01 of the Revised Code.</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“Virtual meeting or gathering” means a meeting or gathering by interactive video conference or teleconference, or by a combination thereof.</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134 v H 511. Eff 1-1-74; 2022 hb504, § 1, effective April 6, 2023; 2022 sb288, § 1, effective April 4,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2917.12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2917.12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