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05E3F" w14:textId="77777777" w:rsidR="008D44D4" w:rsidRDefault="008D44D4">
      <w:pPr>
        <w:sectPr w:rsidR="008D44D4">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194C94D8" w14:textId="77777777" w:rsidR="008D44D4" w:rsidRDefault="008D44D4"/>
    <w:p w14:paraId="29F6E2FC" w14:textId="77777777" w:rsidR="008D44D4" w:rsidRDefault="00E95152">
      <w:pPr>
        <w:pStyle w:val="Heading1"/>
        <w:keepNext w:val="0"/>
        <w:spacing w:after="200" w:line="340" w:lineRule="atLeast"/>
        <w:jc w:val="center"/>
      </w:pPr>
      <w:r>
        <w:rPr>
          <w:rFonts w:ascii="Times" w:hAnsi="Times" w:cs="Times"/>
          <w:color w:val="000000"/>
          <w:sz w:val="28"/>
        </w:rPr>
        <w:t xml:space="preserve">ORC Ann. </w:t>
      </w:r>
      <w:r>
        <w:rPr>
          <w:rFonts w:ascii="Times" w:hAnsi="Times" w:cs="Times"/>
          <w:color w:val="000000"/>
          <w:sz w:val="28"/>
        </w:rPr>
        <w:t>1349.19</w:t>
      </w:r>
    </w:p>
    <w:p w14:paraId="7F6EA014" w14:textId="77777777" w:rsidR="008D44D4" w:rsidRDefault="00E95152">
      <w:pPr>
        <w:spacing w:before="120" w:line="300" w:lineRule="atLeast"/>
        <w:jc w:val="center"/>
      </w:pPr>
      <w:r>
        <w:rPr>
          <w:color w:val="000000"/>
        </w:rPr>
        <w:t>Current through File 26 of the 135th General Assembly (2023-2024).</w:t>
      </w:r>
    </w:p>
    <w:p w14:paraId="52002ADB" w14:textId="77777777" w:rsidR="008D44D4" w:rsidRDefault="008D44D4">
      <w:pPr>
        <w:spacing w:line="240" w:lineRule="atLeast"/>
        <w:jc w:val="both"/>
      </w:pPr>
      <w:bookmarkStart w:id="1" w:name="Bookmark_1"/>
      <w:bookmarkEnd w:id="1"/>
    </w:p>
    <w:p w14:paraId="6B78FCAE" w14:textId="77777777" w:rsidR="008D44D4" w:rsidRDefault="00E95152">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Protection (§§ 1349.01 — 1349</w:t>
      </w:r>
      <w:r>
        <w:rPr>
          <w:b/>
          <w:i/>
          <w:color w:val="000000"/>
          <w:sz w:val="22"/>
        </w:rPr>
        <w:t>.99)</w:t>
      </w:r>
      <w:r>
        <w:rPr>
          <w:b/>
          <w:color w:val="000000"/>
          <w:sz w:val="22"/>
        </w:rPr>
        <w:t xml:space="preserve">  &gt;  </w:t>
      </w:r>
      <w:r>
        <w:rPr>
          <w:b/>
          <w:i/>
          <w:color w:val="000000"/>
          <w:sz w:val="22"/>
        </w:rPr>
        <w:t>Disclosure or Notification of Breach of Security of Personal Information System (§§ 1349.19 — 1349.192)</w:t>
      </w:r>
    </w:p>
    <w:p w14:paraId="1B829959" w14:textId="77777777" w:rsidR="008D44D4" w:rsidRDefault="00E95152">
      <w:pPr>
        <w:keepNext/>
        <w:spacing w:before="240" w:line="340" w:lineRule="atLeast"/>
      </w:pPr>
      <w:r>
        <w:br/>
      </w:r>
      <w:r>
        <w:rPr>
          <w:b/>
          <w:color w:val="000000"/>
          <w:sz w:val="28"/>
        </w:rPr>
        <w:t>§ 1349.19 Disclosure or notification of breach of security of computerized personal information system.</w:t>
      </w:r>
    </w:p>
    <w:p w14:paraId="7C41A1CD" w14:textId="0B251264" w:rsidR="008D44D4" w:rsidRDefault="00E95152">
      <w:pPr>
        <w:spacing w:line="60" w:lineRule="exact"/>
      </w:pPr>
      <w:r>
        <w:rPr>
          <w:noProof/>
        </w:rPr>
        <mc:AlternateContent>
          <mc:Choice Requires="wps">
            <w:drawing>
              <wp:anchor distT="0" distB="0" distL="114300" distR="114300" simplePos="0" relativeHeight="251658240" behindDoc="0" locked="0" layoutInCell="1" allowOverlap="1" wp14:anchorId="5E929A39" wp14:editId="1DE8E850">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8FA37"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7CE937B2" w14:textId="77777777" w:rsidR="008D44D4" w:rsidRDefault="008D44D4"/>
    <w:p w14:paraId="1A0A9C2E" w14:textId="77777777" w:rsidR="008D44D4" w:rsidRDefault="00E95152">
      <w:pPr>
        <w:spacing w:before="120" w:line="300" w:lineRule="atLeast"/>
        <w:ind w:left="720"/>
      </w:pPr>
      <w:r>
        <w:rPr>
          <w:b/>
        </w:rPr>
        <w:t xml:space="preserve">(A)  </w:t>
      </w:r>
      <w:bookmarkStart w:id="2" w:name="Bookmark__a"/>
      <w:bookmarkEnd w:id="2"/>
      <w:r>
        <w:rPr>
          <w:color w:val="000000"/>
        </w:rPr>
        <w:t>As used in this section:</w:t>
      </w:r>
    </w:p>
    <w:p w14:paraId="24165592" w14:textId="77777777" w:rsidR="008D44D4" w:rsidRDefault="00E95152">
      <w:pPr>
        <w:spacing w:before="120" w:line="240" w:lineRule="atLeast"/>
        <w:ind w:left="1080"/>
      </w:pPr>
      <w:r>
        <w:rPr>
          <w:b/>
        </w:rPr>
        <w:t xml:space="preserve">(1)  </w:t>
      </w:r>
      <w:bookmarkStart w:id="3" w:name="Bookmark__a_1"/>
      <w:bookmarkEnd w:id="3"/>
    </w:p>
    <w:p w14:paraId="07DD991C" w14:textId="77777777" w:rsidR="008D44D4" w:rsidRDefault="00E95152">
      <w:pPr>
        <w:spacing w:before="120" w:line="300" w:lineRule="atLeast"/>
        <w:ind w:left="1440"/>
      </w:pPr>
      <w:r>
        <w:rPr>
          <w:b/>
        </w:rPr>
        <w:t xml:space="preserve">(a)  </w:t>
      </w:r>
      <w:bookmarkStart w:id="4" w:name="Bookmark__a_1_a"/>
      <w:bookmarkEnd w:id="4"/>
      <w:r>
        <w:rPr>
          <w:color w:val="000000"/>
        </w:rPr>
        <w:t>“Breach of the security of the system” means unauthorized access to and acquisition of computerized data that compromises the security or confidentiality of personal information owned or licensed by a person and that causes, reasonably is believed to</w:t>
      </w:r>
      <w:r>
        <w:rPr>
          <w:color w:val="000000"/>
        </w:rPr>
        <w:t xml:space="preserve"> have caused, or reasonably is believed will cause a material risk of identity theft or other fraud to the person or property of a resident of this state.</w:t>
      </w:r>
    </w:p>
    <w:p w14:paraId="5B477D32" w14:textId="77777777" w:rsidR="008D44D4" w:rsidRDefault="00E95152">
      <w:pPr>
        <w:spacing w:before="120" w:line="300" w:lineRule="atLeast"/>
        <w:ind w:left="1440"/>
      </w:pPr>
      <w:r>
        <w:rPr>
          <w:b/>
        </w:rPr>
        <w:t xml:space="preserve">(b)  </w:t>
      </w:r>
      <w:bookmarkStart w:id="5" w:name="Bookmark__a_1_b"/>
      <w:bookmarkEnd w:id="5"/>
      <w:r>
        <w:rPr>
          <w:color w:val="000000"/>
        </w:rPr>
        <w:t>For purposes of division (A)(1)(a) of this section:</w:t>
      </w:r>
    </w:p>
    <w:p w14:paraId="609ABF94" w14:textId="77777777" w:rsidR="008D44D4" w:rsidRDefault="00E95152">
      <w:pPr>
        <w:spacing w:before="120" w:line="300" w:lineRule="atLeast"/>
        <w:ind w:left="1800"/>
      </w:pPr>
      <w:r>
        <w:rPr>
          <w:b/>
        </w:rPr>
        <w:t xml:space="preserve">(i)  </w:t>
      </w:r>
      <w:bookmarkStart w:id="6" w:name="Bookmark__a_1_b_i"/>
      <w:bookmarkEnd w:id="6"/>
      <w:r>
        <w:rPr>
          <w:color w:val="000000"/>
        </w:rPr>
        <w:t xml:space="preserve">Good faith acquisition of personal </w:t>
      </w:r>
      <w:r>
        <w:rPr>
          <w:color w:val="000000"/>
        </w:rPr>
        <w:t>information by an employee or agent of the person for the purposes of the person is not a breach of the security of the system, provided that the personal information is not used for an unlawful purpose or subject to further unauthorized disclosure.</w:t>
      </w:r>
    </w:p>
    <w:p w14:paraId="2BB4777E" w14:textId="77777777" w:rsidR="008D44D4" w:rsidRDefault="00E95152">
      <w:pPr>
        <w:spacing w:before="120" w:line="300" w:lineRule="atLeast"/>
        <w:ind w:left="1800"/>
      </w:pPr>
      <w:r>
        <w:rPr>
          <w:b/>
        </w:rPr>
        <w:t xml:space="preserve">(ii)  </w:t>
      </w:r>
      <w:bookmarkStart w:id="7" w:name="Bookmark__a_1_b_ii"/>
      <w:bookmarkEnd w:id="7"/>
      <w:r>
        <w:rPr>
          <w:color w:val="000000"/>
        </w:rPr>
        <w:t>Acquisition of personal information pursuant to a search warrant, subpoena, or other court order, or pursuant to a subpoena, order, or duty of a regulatory state agency, is not a breach of the security of the system.</w:t>
      </w:r>
    </w:p>
    <w:p w14:paraId="4558F7BD" w14:textId="77777777" w:rsidR="008D44D4" w:rsidRDefault="00E95152">
      <w:pPr>
        <w:spacing w:before="120" w:line="300" w:lineRule="atLeast"/>
        <w:ind w:left="1080"/>
      </w:pPr>
      <w:r>
        <w:rPr>
          <w:b/>
        </w:rPr>
        <w:t xml:space="preserve">(2)  </w:t>
      </w:r>
      <w:bookmarkStart w:id="8" w:name="Bookmark__a_2"/>
      <w:bookmarkEnd w:id="8"/>
      <w:r>
        <w:rPr>
          <w:color w:val="000000"/>
        </w:rPr>
        <w:t>“Business entity” means a sole pro</w:t>
      </w:r>
      <w:r>
        <w:rPr>
          <w:color w:val="000000"/>
        </w:rPr>
        <w:t>prietorship, partnership, corporation, association, or other group, however organized and whether operating for profit or not for profit, including a financial institution organized, chartered, or holding a license authorizing operation under the laws of t</w:t>
      </w:r>
      <w:r>
        <w:rPr>
          <w:color w:val="000000"/>
        </w:rPr>
        <w:t>his state, any other state, the United States, or any other country, or the parent or subsidiary of a financial institution.</w:t>
      </w:r>
    </w:p>
    <w:p w14:paraId="0124D4C5" w14:textId="77777777" w:rsidR="008D44D4" w:rsidRDefault="00E95152">
      <w:pPr>
        <w:spacing w:before="120" w:line="300" w:lineRule="atLeast"/>
        <w:ind w:left="1080"/>
      </w:pPr>
      <w:r>
        <w:rPr>
          <w:b/>
        </w:rPr>
        <w:t xml:space="preserve">(3)  </w:t>
      </w:r>
      <w:bookmarkStart w:id="9" w:name="Bookmark__a_3"/>
      <w:bookmarkEnd w:id="9"/>
      <w:r>
        <w:rPr>
          <w:color w:val="000000"/>
        </w:rPr>
        <w:t>“Consumer reporting agency that compiles and maintains files on consumers on a nationwide basis” means a consumer reporting ag</w:t>
      </w:r>
      <w:r>
        <w:rPr>
          <w:color w:val="000000"/>
        </w:rPr>
        <w:t>ency that regularly engages in the practice of assembling or evaluating, and maintaining, for the purpose of furnishing consumer reports to third parties bearing on a consumer’s creditworthiness, credit standing, or credit capacity, each of the following r</w:t>
      </w:r>
      <w:r>
        <w:rPr>
          <w:color w:val="000000"/>
        </w:rPr>
        <w:t>egarding consumers residing nationwide:</w:t>
      </w:r>
    </w:p>
    <w:p w14:paraId="7D034B80" w14:textId="77777777" w:rsidR="008D44D4" w:rsidRDefault="00E95152">
      <w:pPr>
        <w:spacing w:before="120" w:line="300" w:lineRule="atLeast"/>
        <w:ind w:left="1440"/>
      </w:pPr>
      <w:r>
        <w:rPr>
          <w:b/>
        </w:rPr>
        <w:t xml:space="preserve">(a)  </w:t>
      </w:r>
      <w:bookmarkStart w:id="10" w:name="Bookmark__a_3_a"/>
      <w:bookmarkEnd w:id="10"/>
      <w:r>
        <w:rPr>
          <w:color w:val="000000"/>
        </w:rPr>
        <w:t>Public record information;</w:t>
      </w:r>
    </w:p>
    <w:p w14:paraId="027467B7" w14:textId="77777777" w:rsidR="008D44D4" w:rsidRDefault="00E95152">
      <w:pPr>
        <w:spacing w:before="120" w:line="300" w:lineRule="atLeast"/>
        <w:ind w:left="1440"/>
      </w:pPr>
      <w:r>
        <w:rPr>
          <w:b/>
        </w:rPr>
        <w:lastRenderedPageBreak/>
        <w:t xml:space="preserve">(b)  </w:t>
      </w:r>
      <w:bookmarkStart w:id="11" w:name="Bookmark__a_3_b"/>
      <w:bookmarkEnd w:id="11"/>
      <w:r>
        <w:rPr>
          <w:color w:val="000000"/>
        </w:rPr>
        <w:t>Credit account information from persons who furnish that information regularly and in the ordinary course of business.</w:t>
      </w:r>
    </w:p>
    <w:p w14:paraId="46BB7A06" w14:textId="77777777" w:rsidR="008D44D4" w:rsidRDefault="00E95152">
      <w:pPr>
        <w:spacing w:before="120" w:line="300" w:lineRule="atLeast"/>
        <w:ind w:left="1080"/>
      </w:pPr>
      <w:r>
        <w:rPr>
          <w:b/>
        </w:rPr>
        <w:t xml:space="preserve">(4)  </w:t>
      </w:r>
      <w:bookmarkStart w:id="12" w:name="Bookmark__a_4"/>
      <w:bookmarkEnd w:id="12"/>
      <w:r>
        <w:rPr>
          <w:color w:val="000000"/>
        </w:rPr>
        <w:t>“Encryption” means the use of an algorithmic process to</w:t>
      </w:r>
      <w:r>
        <w:rPr>
          <w:color w:val="000000"/>
        </w:rPr>
        <w:t xml:space="preserve"> transform data into a form in which there is a low probability of assigning meaning without use of a confidential process or key.</w:t>
      </w:r>
    </w:p>
    <w:p w14:paraId="214507E8" w14:textId="77777777" w:rsidR="008D44D4" w:rsidRDefault="00E95152">
      <w:pPr>
        <w:spacing w:before="120" w:line="300" w:lineRule="atLeast"/>
        <w:ind w:left="1080"/>
      </w:pPr>
      <w:r>
        <w:rPr>
          <w:b/>
        </w:rPr>
        <w:t xml:space="preserve">(5)  </w:t>
      </w:r>
      <w:bookmarkStart w:id="13" w:name="Bookmark__a_5"/>
      <w:bookmarkEnd w:id="13"/>
      <w:r>
        <w:rPr>
          <w:color w:val="000000"/>
        </w:rPr>
        <w:t>“Individual” means a natural person.</w:t>
      </w:r>
    </w:p>
    <w:p w14:paraId="704D23F3" w14:textId="77777777" w:rsidR="008D44D4" w:rsidRDefault="00E95152">
      <w:pPr>
        <w:spacing w:before="120" w:line="300" w:lineRule="atLeast"/>
        <w:ind w:left="1080"/>
      </w:pPr>
      <w:r>
        <w:rPr>
          <w:b/>
        </w:rPr>
        <w:t xml:space="preserve">(6)  </w:t>
      </w:r>
      <w:bookmarkStart w:id="14" w:name="Bookmark__a_6"/>
      <w:bookmarkEnd w:id="14"/>
      <w:r>
        <w:rPr>
          <w:color w:val="000000"/>
        </w:rPr>
        <w:t>“Person” has the same meaning as in section 1.59 of the Revised Code, except t</w:t>
      </w:r>
      <w:r>
        <w:rPr>
          <w:color w:val="000000"/>
        </w:rPr>
        <w:t>hat “person” includes a business entity only if the business entity conducts business in this state.</w:t>
      </w:r>
    </w:p>
    <w:p w14:paraId="5A6904DB" w14:textId="77777777" w:rsidR="008D44D4" w:rsidRDefault="00E95152">
      <w:pPr>
        <w:spacing w:before="120" w:line="240" w:lineRule="atLeast"/>
        <w:ind w:left="1080"/>
      </w:pPr>
      <w:r>
        <w:rPr>
          <w:b/>
        </w:rPr>
        <w:t xml:space="preserve">(7)  </w:t>
      </w:r>
      <w:bookmarkStart w:id="15" w:name="Bookmark__a_7"/>
      <w:bookmarkEnd w:id="15"/>
    </w:p>
    <w:p w14:paraId="09EC2ED6" w14:textId="77777777" w:rsidR="008D44D4" w:rsidRDefault="00E95152">
      <w:pPr>
        <w:spacing w:before="120" w:line="300" w:lineRule="atLeast"/>
        <w:ind w:left="1440"/>
      </w:pPr>
      <w:r>
        <w:rPr>
          <w:b/>
        </w:rPr>
        <w:t xml:space="preserve">(a)  </w:t>
      </w:r>
      <w:bookmarkStart w:id="16" w:name="Bookmark__a_7_a"/>
      <w:bookmarkEnd w:id="16"/>
      <w:r>
        <w:rPr>
          <w:color w:val="000000"/>
        </w:rPr>
        <w:t>“Personal information” means an individual’s name, consisting of the individual’s first name or first initial and last name, in combination with</w:t>
      </w:r>
      <w:r>
        <w:rPr>
          <w:color w:val="000000"/>
        </w:rPr>
        <w:t xml:space="preserve"> and linked to any one or more of the following data elements, when the data elements are not encrypted, redacted, or altered by any method or technology in such a manner that the data elements are unreadable:</w:t>
      </w:r>
    </w:p>
    <w:p w14:paraId="44CD8316" w14:textId="77777777" w:rsidR="008D44D4" w:rsidRDefault="00E95152">
      <w:pPr>
        <w:spacing w:before="120" w:line="300" w:lineRule="atLeast"/>
        <w:ind w:left="1800"/>
      </w:pPr>
      <w:r>
        <w:rPr>
          <w:b/>
        </w:rPr>
        <w:t xml:space="preserve">(i)  </w:t>
      </w:r>
      <w:bookmarkStart w:id="17" w:name="Bookmark__a_7_a_i"/>
      <w:bookmarkEnd w:id="17"/>
      <w:r>
        <w:rPr>
          <w:color w:val="000000"/>
        </w:rPr>
        <w:t>Social security number;</w:t>
      </w:r>
    </w:p>
    <w:p w14:paraId="1B2AB770" w14:textId="77777777" w:rsidR="008D44D4" w:rsidRDefault="00E95152">
      <w:pPr>
        <w:spacing w:before="120" w:line="300" w:lineRule="atLeast"/>
        <w:ind w:left="1800"/>
      </w:pPr>
      <w:r>
        <w:rPr>
          <w:b/>
        </w:rPr>
        <w:t xml:space="preserve">(ii)  </w:t>
      </w:r>
      <w:bookmarkStart w:id="18" w:name="Bookmark__a_7_a_ii"/>
      <w:bookmarkEnd w:id="18"/>
      <w:r>
        <w:rPr>
          <w:color w:val="000000"/>
        </w:rPr>
        <w:t>Driver’s li</w:t>
      </w:r>
      <w:r>
        <w:rPr>
          <w:color w:val="000000"/>
        </w:rPr>
        <w:t>cense number or state identification card number;</w:t>
      </w:r>
    </w:p>
    <w:p w14:paraId="50CC125D" w14:textId="77777777" w:rsidR="008D44D4" w:rsidRDefault="00E95152">
      <w:pPr>
        <w:spacing w:before="120" w:line="300" w:lineRule="atLeast"/>
        <w:ind w:left="1800"/>
      </w:pPr>
      <w:r>
        <w:rPr>
          <w:b/>
        </w:rPr>
        <w:t xml:space="preserve">(iii)  </w:t>
      </w:r>
      <w:bookmarkStart w:id="19" w:name="Bookmark__a_7_a_iii"/>
      <w:bookmarkEnd w:id="19"/>
      <w:r>
        <w:rPr>
          <w:color w:val="000000"/>
        </w:rPr>
        <w:t>Account number or credit or debit card number, in combination with and linked to any required security code, access code, or password that would permit access to an individual’s financial account.</w:t>
      </w:r>
    </w:p>
    <w:p w14:paraId="3FE948FC" w14:textId="77777777" w:rsidR="008D44D4" w:rsidRDefault="00E95152">
      <w:pPr>
        <w:spacing w:before="120" w:line="300" w:lineRule="atLeast"/>
        <w:ind w:left="1440"/>
      </w:pPr>
      <w:r>
        <w:rPr>
          <w:b/>
        </w:rPr>
        <w:t>(b</w:t>
      </w:r>
      <w:r>
        <w:rPr>
          <w:b/>
        </w:rPr>
        <w:t xml:space="preserve">)  </w:t>
      </w:r>
      <w:bookmarkStart w:id="20" w:name="Bookmark__a_7_b"/>
      <w:bookmarkEnd w:id="20"/>
      <w:r>
        <w:rPr>
          <w:color w:val="000000"/>
        </w:rPr>
        <w:t>“Personal information” does not include publicly available information that is lawfully made available to the general public from federal, state, or local government records or any of the following media that are widely distributed:</w:t>
      </w:r>
    </w:p>
    <w:p w14:paraId="73A1C529" w14:textId="77777777" w:rsidR="008D44D4" w:rsidRDefault="00E95152">
      <w:pPr>
        <w:spacing w:before="120" w:line="300" w:lineRule="atLeast"/>
        <w:ind w:left="1800"/>
      </w:pPr>
      <w:r>
        <w:rPr>
          <w:b/>
        </w:rPr>
        <w:t xml:space="preserve">(i)  </w:t>
      </w:r>
      <w:bookmarkStart w:id="21" w:name="Bookmark__a_7_b_i"/>
      <w:bookmarkEnd w:id="21"/>
      <w:r>
        <w:rPr>
          <w:color w:val="000000"/>
        </w:rPr>
        <w:t>Any news, edito</w:t>
      </w:r>
      <w:r>
        <w:rPr>
          <w:color w:val="000000"/>
        </w:rPr>
        <w:t>rial, or advertising statement published in any bona fide newspaper, journal, or magazine, or broadcast over radio or television;</w:t>
      </w:r>
    </w:p>
    <w:p w14:paraId="20159907" w14:textId="77777777" w:rsidR="008D44D4" w:rsidRDefault="00E95152">
      <w:pPr>
        <w:spacing w:before="120" w:line="300" w:lineRule="atLeast"/>
        <w:ind w:left="1800"/>
      </w:pPr>
      <w:r>
        <w:rPr>
          <w:b/>
        </w:rPr>
        <w:t xml:space="preserve">(ii)  </w:t>
      </w:r>
      <w:bookmarkStart w:id="22" w:name="Bookmark__a_7_b_ii"/>
      <w:bookmarkEnd w:id="22"/>
      <w:r>
        <w:rPr>
          <w:color w:val="000000"/>
        </w:rPr>
        <w:t xml:space="preserve">Any gathering or furnishing of information or news by any bona fide reporter, correspondent, or news bureau to news </w:t>
      </w:r>
      <w:r>
        <w:rPr>
          <w:color w:val="000000"/>
        </w:rPr>
        <w:t>media described in division (A)(7)(b)(i) of this section;</w:t>
      </w:r>
    </w:p>
    <w:p w14:paraId="779C6101" w14:textId="77777777" w:rsidR="008D44D4" w:rsidRDefault="00E95152">
      <w:pPr>
        <w:spacing w:before="120" w:line="300" w:lineRule="atLeast"/>
        <w:ind w:left="1800"/>
      </w:pPr>
      <w:r>
        <w:rPr>
          <w:b/>
        </w:rPr>
        <w:t xml:space="preserve">(iii)  </w:t>
      </w:r>
      <w:bookmarkStart w:id="23" w:name="Bookmark__a_7_b_iii"/>
      <w:bookmarkEnd w:id="23"/>
      <w:r>
        <w:rPr>
          <w:color w:val="000000"/>
        </w:rPr>
        <w:t>Any publication designed for and distributed to members of any bona fide association or charitable or fraternal nonprofit corporation;</w:t>
      </w:r>
    </w:p>
    <w:p w14:paraId="45425DCC" w14:textId="77777777" w:rsidR="008D44D4" w:rsidRDefault="00E95152">
      <w:pPr>
        <w:spacing w:before="120" w:line="300" w:lineRule="atLeast"/>
        <w:ind w:left="1800"/>
      </w:pPr>
      <w:r>
        <w:rPr>
          <w:b/>
        </w:rPr>
        <w:t xml:space="preserve">(iv)  </w:t>
      </w:r>
      <w:bookmarkStart w:id="24" w:name="Bookmark__a_7_b_iv"/>
      <w:bookmarkEnd w:id="24"/>
      <w:r>
        <w:rPr>
          <w:color w:val="000000"/>
        </w:rPr>
        <w:t>Any type of media similar in nature to any item, e</w:t>
      </w:r>
      <w:r>
        <w:rPr>
          <w:color w:val="000000"/>
        </w:rPr>
        <w:t>ntity, or activity identified in division (A)(7)(b)(i), (ii), or (iii) of this section.</w:t>
      </w:r>
    </w:p>
    <w:p w14:paraId="1E152D75" w14:textId="77777777" w:rsidR="008D44D4" w:rsidRDefault="00E95152">
      <w:pPr>
        <w:spacing w:before="120" w:line="300" w:lineRule="atLeast"/>
        <w:ind w:left="1080"/>
      </w:pPr>
      <w:r>
        <w:rPr>
          <w:b/>
        </w:rPr>
        <w:t xml:space="preserve">(8)  </w:t>
      </w:r>
      <w:bookmarkStart w:id="25" w:name="Bookmark__a_8"/>
      <w:bookmarkEnd w:id="25"/>
      <w:r>
        <w:rPr>
          <w:color w:val="000000"/>
        </w:rPr>
        <w:t>“Record” means any information that is stored in an electronic medium and is retrievable in perceivable form. “Record” does not include any publicly available dire</w:t>
      </w:r>
      <w:r>
        <w:rPr>
          <w:color w:val="000000"/>
        </w:rPr>
        <w:t>ctory containing information an individual voluntarily has consented to have publicly disseminated or listed, such as name, address, or telephone number.</w:t>
      </w:r>
    </w:p>
    <w:p w14:paraId="2D7DACE2" w14:textId="77777777" w:rsidR="008D44D4" w:rsidRDefault="00E95152">
      <w:pPr>
        <w:spacing w:before="120" w:line="300" w:lineRule="atLeast"/>
        <w:ind w:left="1080"/>
      </w:pPr>
      <w:r>
        <w:rPr>
          <w:b/>
        </w:rPr>
        <w:t xml:space="preserve">(9)  </w:t>
      </w:r>
      <w:bookmarkStart w:id="26" w:name="Bookmark__a_9"/>
      <w:bookmarkEnd w:id="26"/>
      <w:r>
        <w:rPr>
          <w:color w:val="000000"/>
        </w:rPr>
        <w:t>“Redacted” means altered or truncated so that no more than the last four digits of a social secur</w:t>
      </w:r>
      <w:r>
        <w:rPr>
          <w:color w:val="000000"/>
        </w:rPr>
        <w:t>ity number, driver’s license number, state identification card number, account number, or credit or debit card number is accessible as part of the data.</w:t>
      </w:r>
    </w:p>
    <w:p w14:paraId="495E299A" w14:textId="77777777" w:rsidR="008D44D4" w:rsidRDefault="00E95152">
      <w:pPr>
        <w:spacing w:before="120" w:line="300" w:lineRule="atLeast"/>
        <w:ind w:left="1080"/>
      </w:pPr>
      <w:r>
        <w:rPr>
          <w:b/>
        </w:rPr>
        <w:t xml:space="preserve">(10)  </w:t>
      </w:r>
      <w:bookmarkStart w:id="27" w:name="Bookmark__a_10"/>
      <w:bookmarkEnd w:id="27"/>
      <w:r>
        <w:rPr>
          <w:color w:val="000000"/>
        </w:rPr>
        <w:t>“System” means any collection or group of related records that are kept in an organized manner, t</w:t>
      </w:r>
      <w:r>
        <w:rPr>
          <w:color w:val="000000"/>
        </w:rPr>
        <w:t xml:space="preserve">hat are maintained by a person, and from which personal information is retrieved by </w:t>
      </w:r>
      <w:r>
        <w:rPr>
          <w:color w:val="000000"/>
        </w:rPr>
        <w:lastRenderedPageBreak/>
        <w:t>the name of the individual or by some identifying number, symbol, or other identifier assigned to the individual. “System” does not include any published directory, any ref</w:t>
      </w:r>
      <w:r>
        <w:rPr>
          <w:color w:val="000000"/>
        </w:rPr>
        <w:t>erence material or newsletter, or any routine information that is maintained for the purpose of internal office administration of the person, if the use of the directory, material, newsletter, or information would not adversely affect an individual, and th</w:t>
      </w:r>
      <w:r>
        <w:rPr>
          <w:color w:val="000000"/>
        </w:rPr>
        <w:t>ere has been no unauthorized external breach of the directory, material, newsletter, or information.</w:t>
      </w:r>
    </w:p>
    <w:p w14:paraId="3C6EC812" w14:textId="77777777" w:rsidR="008D44D4" w:rsidRDefault="00E95152">
      <w:pPr>
        <w:spacing w:before="120" w:line="240" w:lineRule="atLeast"/>
        <w:ind w:left="720"/>
      </w:pPr>
      <w:r>
        <w:rPr>
          <w:b/>
        </w:rPr>
        <w:t xml:space="preserve">(B)  </w:t>
      </w:r>
      <w:bookmarkStart w:id="28" w:name="Bookmark__b"/>
      <w:bookmarkEnd w:id="28"/>
    </w:p>
    <w:p w14:paraId="00FE2D30" w14:textId="77777777" w:rsidR="008D44D4" w:rsidRDefault="00E95152">
      <w:pPr>
        <w:spacing w:before="120" w:line="300" w:lineRule="atLeast"/>
        <w:ind w:left="1080"/>
      </w:pPr>
      <w:r>
        <w:rPr>
          <w:b/>
        </w:rPr>
        <w:t xml:space="preserve">(1)  </w:t>
      </w:r>
      <w:bookmarkStart w:id="29" w:name="Bookmark__b_1"/>
      <w:bookmarkEnd w:id="29"/>
      <w:r>
        <w:rPr>
          <w:color w:val="000000"/>
        </w:rPr>
        <w:t>Any person that owns or licenses computerized data that includes personal information shall disclose any breach of the security of the system, f</w:t>
      </w:r>
      <w:r>
        <w:rPr>
          <w:color w:val="000000"/>
        </w:rPr>
        <w:t>ollowing its discovery or notification of the breach of the security of the system, to any resident of this state whose personal information was, or reasonably is believed to have been, accessed and acquired by an unauthorized person if the access and acqu</w:t>
      </w:r>
      <w:r>
        <w:rPr>
          <w:color w:val="000000"/>
        </w:rPr>
        <w:t>isition by the unauthorized person causes or reasonably is believed will cause a material risk of identity theft or other fraud to the resident. The disclosure described in this division may be made pursuant to any provision of a contract entered into by t</w:t>
      </w:r>
      <w:r>
        <w:rPr>
          <w:color w:val="000000"/>
        </w:rPr>
        <w:t>he person with another person prior to the date the breach of the security of the system occurred if that contract does not conflict with any provision of this section and does not waive any provision of this section. For purposes of this section, a reside</w:t>
      </w:r>
      <w:r>
        <w:rPr>
          <w:color w:val="000000"/>
        </w:rPr>
        <w:t>nt of this state is an individual whose principal mailing address as reflected in the records of the person is in this state.</w:t>
      </w:r>
    </w:p>
    <w:p w14:paraId="32184B54" w14:textId="77777777" w:rsidR="008D44D4" w:rsidRDefault="00E95152">
      <w:pPr>
        <w:spacing w:before="120" w:line="300" w:lineRule="atLeast"/>
        <w:ind w:left="1080"/>
      </w:pPr>
      <w:r>
        <w:rPr>
          <w:b/>
        </w:rPr>
        <w:t xml:space="preserve">(2)  </w:t>
      </w:r>
      <w:bookmarkStart w:id="30" w:name="Bookmark__b_2"/>
      <w:bookmarkEnd w:id="30"/>
      <w:r>
        <w:rPr>
          <w:color w:val="000000"/>
        </w:rPr>
        <w:t>The person shall make the disclosure described in division (B)(1) of this section in the most expedient time possible but not</w:t>
      </w:r>
      <w:r>
        <w:rPr>
          <w:color w:val="000000"/>
        </w:rPr>
        <w:t xml:space="preserve"> later than forty-five days following its discovery or notification of the breach in the security of the system, subject to the legitimate needs of law enforcement activities described in division (D) of this section and consistent with any measures necess</w:t>
      </w:r>
      <w:r>
        <w:rPr>
          <w:color w:val="000000"/>
        </w:rPr>
        <w:t>ary to determine the scope of the breach, including which residents’ personal information was accessed and acquired, and to restore the reasonable integrity of the data system.</w:t>
      </w:r>
    </w:p>
    <w:p w14:paraId="690E9488" w14:textId="77777777" w:rsidR="008D44D4" w:rsidRDefault="00E95152">
      <w:pPr>
        <w:spacing w:before="120" w:line="300" w:lineRule="atLeast"/>
        <w:ind w:left="720"/>
      </w:pPr>
      <w:r>
        <w:rPr>
          <w:b/>
        </w:rPr>
        <w:t xml:space="preserve">(C)  </w:t>
      </w:r>
      <w:bookmarkStart w:id="31" w:name="Bookmark__c"/>
      <w:bookmarkEnd w:id="31"/>
      <w:r>
        <w:rPr>
          <w:color w:val="000000"/>
        </w:rPr>
        <w:t xml:space="preserve">Any person that, on behalf of or at the direction of another person or on </w:t>
      </w:r>
      <w:r>
        <w:rPr>
          <w:color w:val="000000"/>
        </w:rPr>
        <w:t>behalf of or at the direction of any governmental entity, is the custodian of or stores computerized data that includes personal information shall notify that other person or governmental entity of any breach of the security of the system in an expeditious</w:t>
      </w:r>
      <w:r>
        <w:rPr>
          <w:color w:val="000000"/>
        </w:rPr>
        <w:t xml:space="preserve"> manner, if the personal information was, or reasonably is believed to have been, accessed and acquired by an unauthorized person and if the access and acquisition by the unauthorized person causes or reasonably is believed will cause a material risk of id</w:t>
      </w:r>
      <w:r>
        <w:rPr>
          <w:color w:val="000000"/>
        </w:rPr>
        <w:t>entity theft or other fraud to a resident of this state.</w:t>
      </w:r>
    </w:p>
    <w:p w14:paraId="6F650187" w14:textId="77777777" w:rsidR="008D44D4" w:rsidRDefault="00E95152">
      <w:pPr>
        <w:spacing w:before="120" w:line="300" w:lineRule="atLeast"/>
        <w:ind w:left="720"/>
      </w:pPr>
      <w:r>
        <w:rPr>
          <w:b/>
        </w:rPr>
        <w:t xml:space="preserve">(D)  </w:t>
      </w:r>
      <w:bookmarkStart w:id="32" w:name="Bookmark__d"/>
      <w:bookmarkEnd w:id="32"/>
      <w:r>
        <w:rPr>
          <w:color w:val="000000"/>
        </w:rPr>
        <w:t>The person may delay the disclosure or notification required by division (B), (C), or (G) of this section if a law enforcement agency determines that the disclosure or notification will impede a</w:t>
      </w:r>
      <w:r>
        <w:rPr>
          <w:color w:val="000000"/>
        </w:rPr>
        <w:t xml:space="preserve"> criminal investigation or jeopardize homeland or national security, in which case, the person shall make the disclosure or notification after the law enforcement agency determines that disclosure or notification will not compromise the investigation or je</w:t>
      </w:r>
      <w:r>
        <w:rPr>
          <w:color w:val="000000"/>
        </w:rPr>
        <w:t>opardize homeland or national security.</w:t>
      </w:r>
    </w:p>
    <w:p w14:paraId="10F89194" w14:textId="77777777" w:rsidR="008D44D4" w:rsidRDefault="00E95152">
      <w:pPr>
        <w:spacing w:before="120" w:line="300" w:lineRule="atLeast"/>
        <w:ind w:left="720"/>
      </w:pPr>
      <w:r>
        <w:rPr>
          <w:b/>
        </w:rPr>
        <w:t xml:space="preserve">(E)  </w:t>
      </w:r>
      <w:bookmarkStart w:id="33" w:name="Bookmark__e"/>
      <w:bookmarkEnd w:id="33"/>
      <w:r>
        <w:rPr>
          <w:color w:val="000000"/>
        </w:rPr>
        <w:t>For purposes of this section, a person may disclose or make a notification by any of the following methods:</w:t>
      </w:r>
    </w:p>
    <w:p w14:paraId="2AF5A638" w14:textId="77777777" w:rsidR="008D44D4" w:rsidRDefault="00E95152">
      <w:pPr>
        <w:spacing w:before="120" w:line="300" w:lineRule="atLeast"/>
        <w:ind w:left="1080"/>
      </w:pPr>
      <w:r>
        <w:rPr>
          <w:b/>
        </w:rPr>
        <w:t xml:space="preserve">(1)  </w:t>
      </w:r>
      <w:bookmarkStart w:id="34" w:name="Bookmark__e_1"/>
      <w:bookmarkEnd w:id="34"/>
      <w:r>
        <w:rPr>
          <w:color w:val="000000"/>
        </w:rPr>
        <w:t>Written notice;</w:t>
      </w:r>
    </w:p>
    <w:p w14:paraId="2CF688D0" w14:textId="77777777" w:rsidR="008D44D4" w:rsidRDefault="00E95152">
      <w:pPr>
        <w:spacing w:before="120" w:line="300" w:lineRule="atLeast"/>
        <w:ind w:left="1080"/>
      </w:pPr>
      <w:r>
        <w:rPr>
          <w:b/>
        </w:rPr>
        <w:lastRenderedPageBreak/>
        <w:t xml:space="preserve">(2)  </w:t>
      </w:r>
      <w:bookmarkStart w:id="35" w:name="Bookmark__e_2"/>
      <w:bookmarkEnd w:id="35"/>
      <w:r>
        <w:rPr>
          <w:color w:val="000000"/>
        </w:rPr>
        <w:t>Electronic notice, if the person’s primary method of communication with the r</w:t>
      </w:r>
      <w:r>
        <w:rPr>
          <w:color w:val="000000"/>
        </w:rPr>
        <w:t>esident to whom the disclosure must be made is by electronic means;</w:t>
      </w:r>
    </w:p>
    <w:p w14:paraId="08EB5E92" w14:textId="77777777" w:rsidR="008D44D4" w:rsidRDefault="00E95152">
      <w:pPr>
        <w:spacing w:before="120" w:line="300" w:lineRule="atLeast"/>
        <w:ind w:left="1080"/>
      </w:pPr>
      <w:r>
        <w:rPr>
          <w:b/>
        </w:rPr>
        <w:t xml:space="preserve">(3)  </w:t>
      </w:r>
      <w:bookmarkStart w:id="36" w:name="Bookmark__e_3"/>
      <w:bookmarkEnd w:id="36"/>
      <w:r>
        <w:rPr>
          <w:color w:val="000000"/>
        </w:rPr>
        <w:t>Telephone notice;</w:t>
      </w:r>
    </w:p>
    <w:p w14:paraId="4897B3B2" w14:textId="77777777" w:rsidR="008D44D4" w:rsidRDefault="00E95152">
      <w:pPr>
        <w:spacing w:before="120" w:line="300" w:lineRule="atLeast"/>
        <w:ind w:left="1080"/>
      </w:pPr>
      <w:r>
        <w:rPr>
          <w:b/>
        </w:rPr>
        <w:t xml:space="preserve">(4)  </w:t>
      </w:r>
      <w:bookmarkStart w:id="37" w:name="Bookmark__e_4"/>
      <w:bookmarkEnd w:id="37"/>
      <w:r>
        <w:rPr>
          <w:color w:val="000000"/>
        </w:rPr>
        <w:t>Substitute notice in accordance with this division, if the person required to disclose demonstrates that the person does not have sufficient contact information</w:t>
      </w:r>
      <w:r>
        <w:rPr>
          <w:color w:val="000000"/>
        </w:rPr>
        <w:t xml:space="preserve"> to provide notice in a manner described in division (E)(1), (2), or (3) of this section, or that the cost of providing disclosure or notice to residents to whom disclosure or notification is required would exceed two hundred fifty thousand dollars, or tha</w:t>
      </w:r>
      <w:r>
        <w:rPr>
          <w:color w:val="000000"/>
        </w:rPr>
        <w:t>t the affected class of subject residents to whom disclosure or notification is required exceeds five hundred thousand persons. Substitute notice under this division shall consist of all of the following:</w:t>
      </w:r>
    </w:p>
    <w:p w14:paraId="7ED59764" w14:textId="77777777" w:rsidR="008D44D4" w:rsidRDefault="00E95152">
      <w:pPr>
        <w:spacing w:before="120" w:line="300" w:lineRule="atLeast"/>
        <w:ind w:left="1440"/>
      </w:pPr>
      <w:r>
        <w:rPr>
          <w:b/>
        </w:rPr>
        <w:t xml:space="preserve">(a)  </w:t>
      </w:r>
      <w:bookmarkStart w:id="38" w:name="Bookmark__e_4_a"/>
      <w:bookmarkEnd w:id="38"/>
      <w:r>
        <w:rPr>
          <w:color w:val="000000"/>
        </w:rPr>
        <w:t>Electronic mail notice if the person has an el</w:t>
      </w:r>
      <w:r>
        <w:rPr>
          <w:color w:val="000000"/>
        </w:rPr>
        <w:t>ectronic mail address for the resident to whom the disclosure must be made;</w:t>
      </w:r>
    </w:p>
    <w:p w14:paraId="631DCE76" w14:textId="77777777" w:rsidR="008D44D4" w:rsidRDefault="00E95152">
      <w:pPr>
        <w:spacing w:before="120" w:line="300" w:lineRule="atLeast"/>
        <w:ind w:left="1440"/>
      </w:pPr>
      <w:r>
        <w:rPr>
          <w:b/>
        </w:rPr>
        <w:t xml:space="preserve">(b)  </w:t>
      </w:r>
      <w:bookmarkStart w:id="39" w:name="Bookmark__e_4_b"/>
      <w:bookmarkEnd w:id="39"/>
      <w:r>
        <w:rPr>
          <w:color w:val="000000"/>
        </w:rPr>
        <w:t>Conspicuous posting of the disclosure or notice on the person’s web site, if the person maintains one;</w:t>
      </w:r>
    </w:p>
    <w:p w14:paraId="09867DE1" w14:textId="77777777" w:rsidR="008D44D4" w:rsidRDefault="00E95152">
      <w:pPr>
        <w:spacing w:before="120" w:line="300" w:lineRule="atLeast"/>
        <w:ind w:left="1440"/>
      </w:pPr>
      <w:r>
        <w:rPr>
          <w:b/>
        </w:rPr>
        <w:t xml:space="preserve">(c)  </w:t>
      </w:r>
      <w:bookmarkStart w:id="40" w:name="Bookmark__e_4_c"/>
      <w:bookmarkEnd w:id="40"/>
      <w:r>
        <w:rPr>
          <w:color w:val="000000"/>
        </w:rPr>
        <w:t>Notification to major media outlets, to the extent that the cumulat</w:t>
      </w:r>
      <w:r>
        <w:rPr>
          <w:color w:val="000000"/>
        </w:rPr>
        <w:t>ive total of the readership, viewing audience, or listening audience of all of the outlets so notified equals or exceeds seventy-five per cent of the population of this state.</w:t>
      </w:r>
    </w:p>
    <w:p w14:paraId="0797E1A1" w14:textId="77777777" w:rsidR="008D44D4" w:rsidRDefault="00E95152">
      <w:pPr>
        <w:spacing w:before="120" w:line="300" w:lineRule="atLeast"/>
        <w:ind w:left="1080"/>
      </w:pPr>
      <w:r>
        <w:rPr>
          <w:b/>
        </w:rPr>
        <w:t xml:space="preserve">(5)  </w:t>
      </w:r>
      <w:bookmarkStart w:id="41" w:name="Bookmark__e_5"/>
      <w:bookmarkEnd w:id="41"/>
      <w:r>
        <w:rPr>
          <w:color w:val="000000"/>
        </w:rPr>
        <w:t xml:space="preserve">Substitute notice in accordance with this division, if the person required </w:t>
      </w:r>
      <w:r>
        <w:rPr>
          <w:color w:val="000000"/>
        </w:rPr>
        <w:t>to disclose demonstrates that the person is a business entity with ten employees or fewer and that the cost of providing the disclosures or notices to residents to whom disclosure or notification is required will exceed ten thousand dollars. Substitute not</w:t>
      </w:r>
      <w:r>
        <w:rPr>
          <w:color w:val="000000"/>
        </w:rPr>
        <w:t>ice under this division shall consist of all of the following:</w:t>
      </w:r>
    </w:p>
    <w:p w14:paraId="68B79C80" w14:textId="77777777" w:rsidR="008D44D4" w:rsidRDefault="00E95152">
      <w:pPr>
        <w:spacing w:before="120" w:line="300" w:lineRule="atLeast"/>
        <w:ind w:left="1440"/>
      </w:pPr>
      <w:r>
        <w:rPr>
          <w:b/>
        </w:rPr>
        <w:t xml:space="preserve">(a)  </w:t>
      </w:r>
      <w:bookmarkStart w:id="42" w:name="Bookmark__e_5_a"/>
      <w:bookmarkEnd w:id="42"/>
      <w:r>
        <w:rPr>
          <w:color w:val="000000"/>
        </w:rPr>
        <w:t>Notification by a paid advertisement in a local newspaper that is distributed in the geographic area in which the business entity is located, which advertisement shall be of sufficient siz</w:t>
      </w:r>
      <w:r>
        <w:rPr>
          <w:color w:val="000000"/>
        </w:rPr>
        <w:t>e that it covers at least one-quarter of a page in the newspaper and shall be published in the newspaper at least once a week for three consecutive weeks;</w:t>
      </w:r>
    </w:p>
    <w:p w14:paraId="66FBD17C" w14:textId="77777777" w:rsidR="008D44D4" w:rsidRDefault="00E95152">
      <w:pPr>
        <w:spacing w:before="120" w:line="300" w:lineRule="atLeast"/>
        <w:ind w:left="1440"/>
      </w:pPr>
      <w:r>
        <w:rPr>
          <w:b/>
        </w:rPr>
        <w:t xml:space="preserve">(b)  </w:t>
      </w:r>
      <w:bookmarkStart w:id="43" w:name="Bookmark__e_5_b"/>
      <w:bookmarkEnd w:id="43"/>
      <w:r>
        <w:rPr>
          <w:color w:val="000000"/>
        </w:rPr>
        <w:t>Conspicuous posting of the disclosure or notice on the business entity’s web site, if the entity</w:t>
      </w:r>
      <w:r>
        <w:rPr>
          <w:color w:val="000000"/>
        </w:rPr>
        <w:t xml:space="preserve"> maintains one;</w:t>
      </w:r>
    </w:p>
    <w:p w14:paraId="65A06CF8" w14:textId="77777777" w:rsidR="008D44D4" w:rsidRDefault="00E95152">
      <w:pPr>
        <w:spacing w:before="120" w:line="300" w:lineRule="atLeast"/>
        <w:ind w:left="1440"/>
      </w:pPr>
      <w:r>
        <w:rPr>
          <w:b/>
        </w:rPr>
        <w:t xml:space="preserve">(c)  </w:t>
      </w:r>
      <w:bookmarkStart w:id="44" w:name="Bookmark__e_5_c"/>
      <w:bookmarkEnd w:id="44"/>
      <w:r>
        <w:rPr>
          <w:color w:val="000000"/>
        </w:rPr>
        <w:t>Notification to major media outlets in the geographic area in which the business entity is located.</w:t>
      </w:r>
    </w:p>
    <w:p w14:paraId="568147A6" w14:textId="77777777" w:rsidR="008D44D4" w:rsidRDefault="00E95152">
      <w:pPr>
        <w:spacing w:before="120" w:line="240" w:lineRule="atLeast"/>
        <w:ind w:left="720"/>
      </w:pPr>
      <w:r>
        <w:rPr>
          <w:b/>
        </w:rPr>
        <w:t xml:space="preserve">(F)  </w:t>
      </w:r>
      <w:bookmarkStart w:id="45" w:name="Bookmark__f"/>
      <w:bookmarkEnd w:id="45"/>
    </w:p>
    <w:p w14:paraId="38A6982D" w14:textId="77777777" w:rsidR="008D44D4" w:rsidRDefault="00E95152">
      <w:pPr>
        <w:spacing w:before="120" w:line="300" w:lineRule="atLeast"/>
        <w:ind w:left="1080"/>
      </w:pPr>
      <w:r>
        <w:rPr>
          <w:b/>
        </w:rPr>
        <w:t xml:space="preserve">(1)  </w:t>
      </w:r>
      <w:bookmarkStart w:id="46" w:name="Bookmark__f_1"/>
      <w:bookmarkEnd w:id="46"/>
      <w:r>
        <w:rPr>
          <w:color w:val="000000"/>
        </w:rPr>
        <w:t xml:space="preserve">A financial institution, trust company, or credit union or any affiliate of a financial institution, trust company, or </w:t>
      </w:r>
      <w:r>
        <w:rPr>
          <w:color w:val="000000"/>
        </w:rPr>
        <w:t>credit union that is required by federal law, including, but not limited to, any federal statute, regulation, regulatory guidance, or other regulatory action, to notify its customers of an information security breach with respect to information about those</w:t>
      </w:r>
      <w:r>
        <w:rPr>
          <w:color w:val="000000"/>
        </w:rPr>
        <w:t xml:space="preserve"> customers and that is subject to examination by its functional government regulatory agency for compliance with the applicable federal law, is exempt from the requirements of this section.</w:t>
      </w:r>
    </w:p>
    <w:p w14:paraId="6A28CD43" w14:textId="77777777" w:rsidR="008D44D4" w:rsidRDefault="00E95152">
      <w:pPr>
        <w:spacing w:before="120" w:line="300" w:lineRule="atLeast"/>
        <w:ind w:left="1080"/>
      </w:pPr>
      <w:r>
        <w:rPr>
          <w:b/>
        </w:rPr>
        <w:t xml:space="preserve">(2)  </w:t>
      </w:r>
      <w:bookmarkStart w:id="47" w:name="Bookmark__f_2"/>
      <w:bookmarkEnd w:id="47"/>
      <w:r>
        <w:rPr>
          <w:color w:val="000000"/>
        </w:rPr>
        <w:t>This section does not apply to any person or entity that is a</w:t>
      </w:r>
      <w:r>
        <w:rPr>
          <w:color w:val="000000"/>
        </w:rPr>
        <w:t xml:space="preserve"> covered entity as defined in 45 C.F.R. 160.103, as amended.</w:t>
      </w:r>
    </w:p>
    <w:p w14:paraId="3A577827" w14:textId="77777777" w:rsidR="008D44D4" w:rsidRDefault="00E95152">
      <w:pPr>
        <w:spacing w:before="120" w:line="300" w:lineRule="atLeast"/>
        <w:ind w:left="720"/>
      </w:pPr>
      <w:r>
        <w:rPr>
          <w:b/>
        </w:rPr>
        <w:t xml:space="preserve">(G)  </w:t>
      </w:r>
      <w:bookmarkStart w:id="48" w:name="Bookmark__g"/>
      <w:bookmarkEnd w:id="48"/>
      <w:r>
        <w:rPr>
          <w:color w:val="000000"/>
        </w:rPr>
        <w:t>If a person discovers circumstances that require disclosure under this section to more than one thousand residents of this state involved in a single occurrence of a breach of the security o</w:t>
      </w:r>
      <w:r>
        <w:rPr>
          <w:color w:val="000000"/>
        </w:rPr>
        <w:t>f the system, the person shall notify, without unreasonable delay, all consumer reporting agencies that compile and maintain files on consumers on a nationwide basis of the timing, distribution, and content of the disclosure given by the person to the resi</w:t>
      </w:r>
      <w:r>
        <w:rPr>
          <w:color w:val="000000"/>
        </w:rPr>
        <w:t>dents of this state. In no case shall a person that is required to make a notification required by this division delay any disclosure or notification required by division (B) or (C) of this section in order to make the notification required by this divisio</w:t>
      </w:r>
      <w:r>
        <w:rPr>
          <w:color w:val="000000"/>
        </w:rPr>
        <w:t>n.</w:t>
      </w:r>
    </w:p>
    <w:p w14:paraId="48A950D3" w14:textId="77777777" w:rsidR="008D44D4" w:rsidRDefault="00E95152">
      <w:pPr>
        <w:spacing w:before="120" w:line="300" w:lineRule="atLeast"/>
        <w:ind w:left="720"/>
      </w:pPr>
      <w:r>
        <w:rPr>
          <w:b/>
        </w:rPr>
        <w:t xml:space="preserve">(H)  </w:t>
      </w:r>
      <w:bookmarkStart w:id="49" w:name="Bookmark__h"/>
      <w:bookmarkEnd w:id="49"/>
      <w:r>
        <w:rPr>
          <w:color w:val="000000"/>
        </w:rPr>
        <w:t>Any waiver of this section is contrary to public policy and is void and unenforceable.</w:t>
      </w:r>
    </w:p>
    <w:p w14:paraId="228E94A2" w14:textId="77777777" w:rsidR="008D44D4" w:rsidRDefault="00E95152">
      <w:pPr>
        <w:spacing w:before="120" w:line="300" w:lineRule="atLeast"/>
        <w:ind w:left="720"/>
      </w:pPr>
      <w:r>
        <w:rPr>
          <w:b/>
        </w:rPr>
        <w:t xml:space="preserve">(I)  </w:t>
      </w:r>
      <w:bookmarkStart w:id="50" w:name="Bookmark__i"/>
      <w:bookmarkEnd w:id="50"/>
      <w:r>
        <w:rPr>
          <w:color w:val="000000"/>
        </w:rPr>
        <w:t>The attorney general may conduct pursuant to sections 1349.191 and 1349.192 of the Revised Code an investigation and bring a civil action upon an alleged fa</w:t>
      </w:r>
      <w:r>
        <w:rPr>
          <w:color w:val="000000"/>
        </w:rPr>
        <w:t>ilure by a person to comply with the requirements of this section.</w:t>
      </w:r>
    </w:p>
    <w:p w14:paraId="52E8C67E" w14:textId="77777777" w:rsidR="008D44D4" w:rsidRDefault="00E95152">
      <w:pPr>
        <w:keepNext/>
        <w:spacing w:before="240" w:line="340" w:lineRule="atLeast"/>
      </w:pPr>
      <w:bookmarkStart w:id="51" w:name="History"/>
      <w:bookmarkEnd w:id="51"/>
      <w:r>
        <w:rPr>
          <w:b/>
          <w:color w:val="000000"/>
          <w:sz w:val="28"/>
        </w:rPr>
        <w:t>History</w:t>
      </w:r>
    </w:p>
    <w:p w14:paraId="4713C017" w14:textId="18EC31E8" w:rsidR="008D44D4" w:rsidRDefault="00E95152">
      <w:pPr>
        <w:spacing w:line="60" w:lineRule="exact"/>
      </w:pPr>
      <w:r>
        <w:rPr>
          <w:noProof/>
        </w:rPr>
        <mc:AlternateContent>
          <mc:Choice Requires="wps">
            <w:drawing>
              <wp:anchor distT="0" distB="0" distL="114300" distR="114300" simplePos="0" relativeHeight="251659264" behindDoc="0" locked="0" layoutInCell="1" allowOverlap="1" wp14:anchorId="39335A71" wp14:editId="2E7350B6">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28D0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5BBD16E8" w14:textId="77777777" w:rsidR="008D44D4" w:rsidRDefault="008D44D4"/>
    <w:p w14:paraId="0024B959" w14:textId="77777777" w:rsidR="008D44D4" w:rsidRDefault="00E95152">
      <w:pPr>
        <w:spacing w:before="120" w:line="300" w:lineRule="atLeast"/>
      </w:pPr>
      <w:r>
        <w:rPr>
          <w:color w:val="000000"/>
        </w:rPr>
        <w:t>151 v H 104, § 1, eff. 2-17-06; 151 v S 126, § 1, eff. 3-30-07.</w:t>
      </w:r>
    </w:p>
    <w:p w14:paraId="1BE73080" w14:textId="77777777" w:rsidR="008D44D4" w:rsidRDefault="00E95152">
      <w:pPr>
        <w:spacing w:before="120" w:line="260" w:lineRule="atLeast"/>
      </w:pPr>
      <w:r>
        <w:br/>
      </w:r>
      <w:r>
        <w:rPr>
          <w:color w:val="000000"/>
          <w:sz w:val="20"/>
        </w:rPr>
        <w:t>Page’s Ohio Revised Code Annotated</w:t>
      </w:r>
    </w:p>
    <w:p w14:paraId="0F3C5594" w14:textId="77777777" w:rsidR="008D44D4" w:rsidRDefault="00E95152">
      <w:pPr>
        <w:spacing w:line="260" w:lineRule="atLeast"/>
      </w:pPr>
      <w:r>
        <w:rPr>
          <w:color w:val="000000"/>
          <w:sz w:val="20"/>
        </w:rPr>
        <w:t>Copyright © 2024 All rights reserved.</w:t>
      </w:r>
    </w:p>
    <w:p w14:paraId="18ABBDAC" w14:textId="77777777" w:rsidR="008D44D4" w:rsidRDefault="008D44D4"/>
    <w:p w14:paraId="0F983E16" w14:textId="2E546CCE" w:rsidR="008D44D4" w:rsidRDefault="00E95152">
      <w:pPr>
        <w:ind w:left="200"/>
      </w:pPr>
      <w:r>
        <w:br/>
      </w:r>
      <w:r>
        <w:rPr>
          <w:noProof/>
        </w:rPr>
        <mc:AlternateContent>
          <mc:Choice Requires="wps">
            <w:drawing>
              <wp:anchor distT="0" distB="0" distL="114300" distR="114300" simplePos="0" relativeHeight="251660288" behindDoc="0" locked="0" layoutInCell="1" allowOverlap="1" wp14:anchorId="022183CF" wp14:editId="07ADB70F">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B5411"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8D44D4">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EC924" w14:textId="77777777" w:rsidR="00000000" w:rsidRDefault="00E95152">
      <w:r>
        <w:separator/>
      </w:r>
    </w:p>
  </w:endnote>
  <w:endnote w:type="continuationSeparator" w:id="0">
    <w:p w14:paraId="7FDE7C08" w14:textId="77777777" w:rsidR="00000000" w:rsidRDefault="00E9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8D44D4" w14:paraId="12BEFAAA" w14:textId="77777777">
      <w:trPr>
        <w:jc w:val="center"/>
      </w:trPr>
      <w:tc>
        <w:tcPr>
          <w:tcW w:w="2600" w:type="dxa"/>
          <w:tcMar>
            <w:top w:w="200" w:type="dxa"/>
          </w:tcMar>
          <w:vAlign w:val="center"/>
        </w:tcPr>
        <w:p w14:paraId="399D96F4" w14:textId="77777777" w:rsidR="008D44D4" w:rsidRDefault="008D44D4"/>
      </w:tc>
      <w:tc>
        <w:tcPr>
          <w:tcW w:w="4880" w:type="dxa"/>
          <w:tcMar>
            <w:top w:w="200" w:type="dxa"/>
          </w:tcMar>
          <w:vAlign w:val="center"/>
        </w:tcPr>
        <w:p w14:paraId="6DB4E029" w14:textId="77777777" w:rsidR="008D44D4" w:rsidRDefault="008D44D4"/>
      </w:tc>
      <w:tc>
        <w:tcPr>
          <w:tcW w:w="2600" w:type="dxa"/>
          <w:tcMar>
            <w:top w:w="200" w:type="dxa"/>
          </w:tcMar>
          <w:vAlign w:val="center"/>
        </w:tcPr>
        <w:p w14:paraId="4F0876B6" w14:textId="77777777" w:rsidR="008D44D4" w:rsidRDefault="008D44D4"/>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8A00C" w14:textId="77777777" w:rsidR="008D44D4" w:rsidRDefault="00E95152">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F96E2" w14:textId="77777777" w:rsidR="00000000" w:rsidRDefault="00E95152">
      <w:r>
        <w:separator/>
      </w:r>
    </w:p>
  </w:footnote>
  <w:footnote w:type="continuationSeparator" w:id="0">
    <w:p w14:paraId="1CD1F40C" w14:textId="77777777" w:rsidR="00000000" w:rsidRDefault="00E95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8D44D4" w14:paraId="5FB062FE" w14:textId="77777777">
      <w:trPr>
        <w:jc w:val="center"/>
      </w:trPr>
      <w:tc>
        <w:tcPr>
          <w:tcW w:w="10080" w:type="dxa"/>
          <w:vAlign w:val="center"/>
        </w:tcPr>
        <w:p w14:paraId="340FDD7A" w14:textId="152B3378" w:rsidR="008D44D4" w:rsidRDefault="00E95152">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5</w:t>
          </w:r>
          <w:r>
            <w:rPr>
              <w:sz w:val="20"/>
            </w:rPr>
            <w:fldChar w:fldCharType="end"/>
          </w:r>
        </w:p>
      </w:tc>
    </w:tr>
    <w:tr w:rsidR="008D44D4" w14:paraId="0311DEFD" w14:textId="77777777">
      <w:trPr>
        <w:jc w:val="center"/>
      </w:trPr>
      <w:tc>
        <w:tcPr>
          <w:tcW w:w="10080" w:type="dxa"/>
        </w:tcPr>
        <w:p w14:paraId="0CD283AB" w14:textId="77777777" w:rsidR="008D44D4" w:rsidRDefault="00E95152">
          <w:pPr>
            <w:spacing w:before="60" w:after="200"/>
            <w:jc w:val="center"/>
          </w:pPr>
          <w:r>
            <w:rPr>
              <w:sz w:val="20"/>
            </w:rPr>
            <w:t>§ 1349.19 Disclosure or notification of breach of security of computerized personal information system.</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8D44D4"/>
    <w:rsid w:val="00A77B3E"/>
    <w:rsid w:val="00CA2A55"/>
    <w:rsid w:val="00E9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388DE60"/>
  <w15:docId w15:val="{D0AADDF6-2332-4381-9446-3949E3DC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6A3CD967-96E4-4492-84FC-481088E15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EC3561-2342-486A-A511-989859A1832B}">
  <ds:schemaRefs>
    <ds:schemaRef ds:uri="http://schemas.microsoft.com/sharepoint/v3/contenttype/forms"/>
  </ds:schemaRefs>
</ds:datastoreItem>
</file>

<file path=customXml/itemProps3.xml><?xml version="1.0" encoding="utf-8"?>
<ds:datastoreItem xmlns:ds="http://schemas.openxmlformats.org/officeDocument/2006/customXml" ds:itemID="{51E38606-A3F0-4800-B207-3F6A622BA0D4}">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4e6a8aeb-c29e-4a8a-85db-b95bdfea3467"/>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1907</Words>
  <Characters>10870</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1349.19 Disclosure or notification of breach of security of computerized personal information system.</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1349.19 Disclosure or notification of breach of security of computerized personal information system.</dc:title>
  <dc:creator>Trayce Hockstad</dc:creator>
  <cp:lastModifiedBy>Trayce Hockstad</cp:lastModifiedBy>
  <cp:revision>2</cp:revision>
  <dcterms:created xsi:type="dcterms:W3CDTF">2024-06-11T19:06:00Z</dcterms:created>
  <dcterms:modified xsi:type="dcterms:W3CDTF">2024-06-11T19:06:00Z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F-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