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50E3B" w14:textId="77777777" w:rsidR="00FC4E5F" w:rsidRDefault="00FC4E5F">
      <w:pPr>
        <w:sectPr w:rsidR="00FC4E5F">
          <w:headerReference w:type="default" r:id="rId9"/>
          <w:footerReference w:type="default" r:id="rId10"/>
          <w:footerReference w:type="first" r:id="rId11"/>
          <w:pgSz w:w="12240" w:h="15840"/>
          <w:pgMar w:top="840" w:right="1000" w:bottom="840" w:left="1000" w:header="400" w:footer="400" w:gutter="0"/>
          <w:cols w:space="720"/>
          <w:titlePg/>
        </w:sectPr>
      </w:pPr>
      <w:bookmarkStart w:id="0" w:name="_GoBack"/>
      <w:bookmarkEnd w:id="0"/>
    </w:p>
    <w:p w14:paraId="142FC40E" w14:textId="77777777" w:rsidR="00FC4E5F" w:rsidRDefault="00FC4E5F"/>
    <w:p w14:paraId="0780FFAB" w14:textId="77777777" w:rsidR="00FC4E5F" w:rsidRDefault="00082568">
      <w:pPr>
        <w:pStyle w:val="Heading1"/>
        <w:keepNext w:val="0"/>
        <w:spacing w:after="200" w:line="340" w:lineRule="atLeast"/>
        <w:jc w:val="center"/>
      </w:pPr>
      <w:r>
        <w:rPr>
          <w:rFonts w:ascii="Times" w:hAnsi="Times" w:cs="Times"/>
          <w:color w:val="000000"/>
          <w:sz w:val="28"/>
        </w:rPr>
        <w:t>ORC Ann. 1349.74</w:t>
      </w:r>
    </w:p>
    <w:p w14:paraId="7ADCE788" w14:textId="77777777" w:rsidR="00FC4E5F" w:rsidRDefault="00082568">
      <w:pPr>
        <w:spacing w:before="120" w:line="300" w:lineRule="atLeast"/>
        <w:jc w:val="center"/>
      </w:pPr>
      <w:r>
        <w:rPr>
          <w:color w:val="000000"/>
        </w:rPr>
        <w:t>Current through File 26 of the 135th General Assembly (2023-2024).</w:t>
      </w:r>
    </w:p>
    <w:p w14:paraId="07AB5741" w14:textId="77777777" w:rsidR="00FC4E5F" w:rsidRDefault="00FC4E5F">
      <w:pPr>
        <w:spacing w:line="240" w:lineRule="atLeast"/>
        <w:jc w:val="both"/>
      </w:pPr>
      <w:bookmarkStart w:id="1" w:name="Bookmark_53"/>
      <w:bookmarkEnd w:id="1"/>
    </w:p>
    <w:p w14:paraId="533EFC0E" w14:textId="77777777" w:rsidR="00FC4E5F" w:rsidRDefault="00082568">
      <w:pPr>
        <w:spacing w:before="200" w:line="280" w:lineRule="atLeast"/>
      </w:pPr>
      <w:r>
        <w:rPr>
          <w:b/>
          <w:i/>
          <w:color w:val="000000"/>
          <w:sz w:val="22"/>
        </w:rPr>
        <w:t>Page’s Ohio Revised Code Annotated</w:t>
      </w:r>
      <w:r>
        <w:rPr>
          <w:b/>
          <w:color w:val="000000"/>
          <w:sz w:val="22"/>
        </w:rPr>
        <w:t xml:space="preserve">  &gt;  </w:t>
      </w:r>
      <w:r>
        <w:rPr>
          <w:b/>
          <w:i/>
          <w:color w:val="000000"/>
          <w:sz w:val="22"/>
        </w:rPr>
        <w:t>Title 13: Commercial Transactions — Other Commercial Transactions (Chs. 1301 — 1355)</w:t>
      </w:r>
      <w:r>
        <w:rPr>
          <w:b/>
          <w:color w:val="000000"/>
          <w:sz w:val="22"/>
        </w:rPr>
        <w:t xml:space="preserve">  &gt;  </w:t>
      </w:r>
      <w:r>
        <w:rPr>
          <w:b/>
          <w:i/>
          <w:color w:val="000000"/>
          <w:sz w:val="22"/>
        </w:rPr>
        <w:t>Chapter 1349: Consumer Protection (§§ 1349.01 — 1349.99)</w:t>
      </w:r>
      <w:r>
        <w:rPr>
          <w:b/>
          <w:color w:val="000000"/>
          <w:sz w:val="22"/>
        </w:rPr>
        <w:t xml:space="preserve">  &gt;</w:t>
      </w:r>
      <w:r>
        <w:rPr>
          <w:b/>
          <w:color w:val="000000"/>
          <w:sz w:val="22"/>
        </w:rPr>
        <w:t xml:space="preserve">  </w:t>
      </w:r>
      <w:r>
        <w:rPr>
          <w:b/>
          <w:i/>
          <w:color w:val="000000"/>
          <w:sz w:val="22"/>
        </w:rPr>
        <w:t>Consumer Finance Education Board (§§ 1349.70 — 1349.78)</w:t>
      </w:r>
    </w:p>
    <w:p w14:paraId="32587BB4" w14:textId="77777777" w:rsidR="00FC4E5F" w:rsidRDefault="00082568">
      <w:pPr>
        <w:keepNext/>
        <w:spacing w:before="240" w:line="340" w:lineRule="atLeast"/>
      </w:pPr>
      <w:r>
        <w:br/>
      </w:r>
      <w:r>
        <w:rPr>
          <w:b/>
          <w:color w:val="000000"/>
          <w:sz w:val="28"/>
        </w:rPr>
        <w:t>§ 1349.74 Unfair or deceptive acts or practice; enforcement by attorney general; adoption of rules.</w:t>
      </w:r>
    </w:p>
    <w:p w14:paraId="078E8156" w14:textId="4F27F67D" w:rsidR="00FC4E5F" w:rsidRDefault="00082568">
      <w:pPr>
        <w:spacing w:line="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3C527B" wp14:editId="3CE598E9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502400" cy="0"/>
                <wp:effectExtent l="15875" t="20955" r="15875" b="17145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009D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07F448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51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pBGgIAADQEAAAOAAAAZHJzL2Uyb0RvYy54bWysU02P2yAQvVfqf0DcE9tZJ02sOKvWTnrZ&#10;biPt9gcQwDYqBgQkTlT1v3cgH8q2l6rqBQ9m5vFm3mP5eOwlOnDrhFYlzsYpRlxRzYRqS/ztdTOa&#10;Y+Q8UYxIrXiJT9zhx9X7d8vBFHyiOy0ZtwhAlCsGU+LOe1MkiaMd74kba8MVHDba9sTD1rYJs2QA&#10;9F4mkzSdJYO2zFhNuXPwtz4f4lXEbxpO/demcdwjWWLg5uNq47oLa7JakqK1xHSCXmiQf2DRE6Hg&#10;0htUTTxBeyv+gOoFtdrpxo+p7hPdNILy2AN0k6W/dfPSEcNjLzAcZ25jcv8Plj4fthYJVuIHjBTp&#10;QaInoTjKw2QG4wpIqNTWht7oUb2YJ02/O6R01RHV8sjw9WSgLAsVyZuSsHEG8HfDF80gh+y9jmM6&#10;NrYPkDAAdIxqnG5q8KNHFH7OpukkT0E0ej1LSHEtNNb5z1z3KAQllsA5ApPDk/OBCCmuKeEepTdC&#10;yii2VGgo8WR6hu4NtO5UG4udloKFxFDibLurpEUHEqyTLur6U+wQTu7TrN4rFoE7Ttj6Ensi5DkG&#10;IlIFPGgLqF2iszd+LNLFer6e56N8MluP8rSuRx83VT6abbIP0/qhrqo6+xmoZXnRCca4CuyuPs3y&#10;v/PB5cWcHXZz6m0kyVv0ODsge/1G0lHXIOXZFDvNTlt71RusGZMvzyh4/34P8f1jX/0CAAD//wMA&#10;UEsDBBQABgAIAAAAIQD9LhMY2gAAAAUBAAAPAAAAZHJzL2Rvd25yZXYueG1sTI9PS8NAEMXvgt9h&#10;GcGbnbWKlJhNqQU9CFLaCl632WkSujsbs9skfns3Xupp/rzhvd/ky9FZ0VMXGs8K7mcSBHHpTcOV&#10;gs/9690CRIiajbaeScEPBVgW11e5zowfeEv9LlYimXDItII6xjZDDGVNToeZb4mTdvSd0zGNXYWm&#10;00MydxbnUj6h0w2nhFq3tK6pPO3OTgH2Xy+L9fdg3x6qfdji++b0ITdK3d6Mq2cQkcZ4OYYJP6FD&#10;kZgO/swmCKsgPRIVPKYyiXI+dYe/BRY5/qcvfgEAAP//AwBQSwECLQAUAAYACAAAACEAtoM4kv4A&#10;AADhAQAAEwAAAAAAAAAAAAAAAAAAAAAAW0NvbnRlbnRfVHlwZXNdLnhtbFBLAQItABQABgAIAAAA&#10;IQA4/SH/1gAAAJQBAAALAAAAAAAAAAAAAAAAAC8BAABfcmVscy8ucmVsc1BLAQItABQABgAIAAAA&#10;IQCQbVpBGgIAADQEAAAOAAAAAAAAAAAAAAAAAC4CAABkcnMvZTJvRG9jLnhtbFBLAQItABQABgAI&#10;AAAAIQD9LhMY2gAAAAUBAAAPAAAAAAAAAAAAAAAAAHQEAABkcnMvZG93bnJldi54bWxQSwUGAAAA&#10;AAQABADzAAAAewUAAAAA&#10;" strokecolor="#009ddb" strokeweight="2pt">
                <w10:wrap type="topAndBottom"/>
              </v:line>
            </w:pict>
          </mc:Fallback>
        </mc:AlternateContent>
      </w:r>
    </w:p>
    <w:p w14:paraId="010464A9" w14:textId="77777777" w:rsidR="00FC4E5F" w:rsidRDefault="00FC4E5F"/>
    <w:p w14:paraId="20966583" w14:textId="77777777" w:rsidR="00FC4E5F" w:rsidRDefault="00082568">
      <w:pPr>
        <w:spacing w:before="120" w:line="300" w:lineRule="atLeast"/>
        <w:ind w:left="720"/>
      </w:pPr>
      <w:r>
        <w:rPr>
          <w:b/>
        </w:rPr>
        <w:t xml:space="preserve">(A)  </w:t>
      </w:r>
      <w:bookmarkStart w:id="2" w:name="Bookmark__a"/>
      <w:bookmarkEnd w:id="2"/>
      <w:r>
        <w:rPr>
          <w:color w:val="000000"/>
        </w:rPr>
        <w:t xml:space="preserve">A violation of sections 1349.66 to 1349.73 of the Revised Code is an unfair or deceptive </w:t>
      </w:r>
      <w:r>
        <w:rPr>
          <w:color w:val="000000"/>
        </w:rPr>
        <w:t>act or practice in violation of section 1345.02 of the Revised Code.</w:t>
      </w:r>
    </w:p>
    <w:p w14:paraId="44C11C52" w14:textId="77777777" w:rsidR="00FC4E5F" w:rsidRDefault="00082568">
      <w:pPr>
        <w:spacing w:before="120" w:line="240" w:lineRule="atLeast"/>
        <w:ind w:left="720"/>
      </w:pPr>
      <w:r>
        <w:rPr>
          <w:b/>
        </w:rPr>
        <w:t xml:space="preserve">(B)  </w:t>
      </w:r>
      <w:bookmarkStart w:id="3" w:name="Bookmark__b"/>
      <w:bookmarkEnd w:id="3"/>
    </w:p>
    <w:p w14:paraId="3F6850F1" w14:textId="77777777" w:rsidR="00FC4E5F" w:rsidRDefault="00082568">
      <w:pPr>
        <w:spacing w:before="120" w:line="300" w:lineRule="atLeast"/>
        <w:ind w:left="1080"/>
      </w:pPr>
      <w:r>
        <w:rPr>
          <w:b/>
        </w:rPr>
        <w:t xml:space="preserve">(1)  </w:t>
      </w:r>
      <w:bookmarkStart w:id="4" w:name="Bookmark__b_1"/>
      <w:bookmarkEnd w:id="4"/>
      <w:r>
        <w:rPr>
          <w:color w:val="000000"/>
        </w:rPr>
        <w:t xml:space="preserve">The attorney general shall enforce sections 1349.66 to 1349.73 of the Revised Code in the same manner, by the same means, and with the same jurisdiction, powers, and duties as </w:t>
      </w:r>
      <w:r>
        <w:rPr>
          <w:color w:val="000000"/>
        </w:rPr>
        <w:t>though all applicable terms and provisions of sections 1345.01 to 1345.13 of the Revised Code were incorporated and made part of sections 1349.66 to 1349.73 of the Revised Code.</w:t>
      </w:r>
    </w:p>
    <w:p w14:paraId="1FF5F2F0" w14:textId="77777777" w:rsidR="00FC4E5F" w:rsidRDefault="00082568">
      <w:pPr>
        <w:spacing w:before="120" w:line="300" w:lineRule="atLeast"/>
        <w:ind w:left="1080"/>
      </w:pPr>
      <w:r>
        <w:rPr>
          <w:b/>
        </w:rPr>
        <w:t xml:space="preserve">(2)  </w:t>
      </w:r>
      <w:bookmarkStart w:id="5" w:name="Bookmark__b_2"/>
      <w:bookmarkEnd w:id="5"/>
      <w:r>
        <w:rPr>
          <w:color w:val="000000"/>
        </w:rPr>
        <w:t>There is no private right of action, pursuant to section 1345.09 of the R</w:t>
      </w:r>
      <w:r>
        <w:rPr>
          <w:color w:val="000000"/>
        </w:rPr>
        <w:t>evised Code, to enforce sections 1349.66 to 1349.73 of the Revised Code.</w:t>
      </w:r>
    </w:p>
    <w:p w14:paraId="39759C4F" w14:textId="77777777" w:rsidR="00FC4E5F" w:rsidRDefault="00082568">
      <w:pPr>
        <w:spacing w:before="120" w:line="300" w:lineRule="atLeast"/>
        <w:ind w:left="720"/>
      </w:pPr>
      <w:r>
        <w:rPr>
          <w:b/>
        </w:rPr>
        <w:t xml:space="preserve">(C)  </w:t>
      </w:r>
      <w:bookmarkStart w:id="6" w:name="Bookmark__c"/>
      <w:bookmarkEnd w:id="6"/>
      <w:r>
        <w:rPr>
          <w:color w:val="000000"/>
        </w:rPr>
        <w:t xml:space="preserve">The attorney general may adopt rules with respect to the collection, verification, or disclosure of information under sections 1349.66, 1349.67, and 1349.70 to 1349.73 of the </w:t>
      </w:r>
      <w:r>
        <w:rPr>
          <w:color w:val="000000"/>
        </w:rPr>
        <w:t>Revised Code, provided that such regulations are limited to what is necessary to collect, verify, and disclose such information.</w:t>
      </w:r>
    </w:p>
    <w:p w14:paraId="6FFA423C" w14:textId="77777777" w:rsidR="00FC4E5F" w:rsidRDefault="00082568">
      <w:pPr>
        <w:spacing w:before="120" w:line="300" w:lineRule="atLeast"/>
        <w:ind w:left="720"/>
      </w:pPr>
      <w:r>
        <w:rPr>
          <w:b/>
        </w:rPr>
        <w:t xml:space="preserve">(D)  </w:t>
      </w:r>
      <w:bookmarkStart w:id="7" w:name="Bookmark__d"/>
      <w:bookmarkEnd w:id="7"/>
      <w:r>
        <w:rPr>
          <w:color w:val="000000"/>
        </w:rPr>
        <w:t>Nothing in sections 1349.66 to 1349.74 of the Revised Code shall be construed to limit the authority of the attorney gener</w:t>
      </w:r>
      <w:r>
        <w:rPr>
          <w:color w:val="000000"/>
        </w:rPr>
        <w:t>al under any other provision of law.</w:t>
      </w:r>
    </w:p>
    <w:p w14:paraId="6ECBF932" w14:textId="77777777" w:rsidR="00FC4E5F" w:rsidRDefault="00082568">
      <w:pPr>
        <w:keepNext/>
        <w:spacing w:before="240" w:line="340" w:lineRule="atLeast"/>
      </w:pPr>
      <w:bookmarkStart w:id="8" w:name="History"/>
      <w:bookmarkEnd w:id="8"/>
      <w:r>
        <w:rPr>
          <w:b/>
          <w:color w:val="000000"/>
          <w:sz w:val="28"/>
        </w:rPr>
        <w:t>History</w:t>
      </w:r>
    </w:p>
    <w:p w14:paraId="2223E7AE" w14:textId="05A1787D" w:rsidR="00FC4E5F" w:rsidRDefault="00082568">
      <w:pPr>
        <w:spacing w:line="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51047" wp14:editId="543EBB3A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502400" cy="0"/>
                <wp:effectExtent l="15875" t="15875" r="15875" b="1270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009D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DC4269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51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7yVGQIAADQEAAAOAAAAZHJzL2Uyb0RvYy54bWysU8uu2jAQ3VfqP1jZQx4NFCLCVUugG9oi&#10;3dsPMLaTWHVsyzYEVPXfO3YI4rabqurGGcczx+fMHK+eLp1AZ2YsV7KM0mkSISaJolw2ZfTtZTdZ&#10;RMg6LCkWSrIyujIbPa3fvln1umCZapWgzCAAkbbodRm1zukiji1pWYftVGkm4bBWpsMOtqaJqcE9&#10;oHcizpJkHvfKUG0UYdbC32o4jNYBv64ZcV/r2jKHRBkBNxdWE9ajX+P1CheNwbrl5EYD/wOLDnMJ&#10;l96hKuwwOhn+B1THiVFW1W5KVBeruuaEBQ2gJk1+U/PcYs2CFmiO1fc22f8HS76cDwZxWkZZhCTu&#10;YER7LhnKfGd6bQtI2MiD8drIRT7rvSLfLZJq02LZsMDw5aqhLPUV8asSv7Ea8I/9Z0UhB5+cCm26&#10;1KbzkNAAdAnTuN6nwS4OEfg5nyVZnsDQyHgW42Is1Ma6T0x1yAdlJIBzAMbnvXWeCC7GFH+PVDsu&#10;RBi2kKgHtbMButMg3comFFslOPWJvsSa5rgRBp2xt06yrKqPQSGcPKYZdZI0ALcM0+0tdpiLIQYi&#10;Qno8kAXUbtHgjR/LZLldbBf5JM/m20meVNXkw26TT+a79P2seldtNlX601NL86LllDLp2Y0+TfO/&#10;88HtxQwOuzv13pL4NXroHZAdv4F0mKsf5WCKo6LXgxnnDdYMybdn5L3/uIf48bGvfwEAAP//AwBQ&#10;SwMEFAAGAAgAAAAhAP0uExjaAAAABQEAAA8AAABkcnMvZG93bnJldi54bWxMj09Lw0AQxe+C32EZ&#10;wZudtYqUmE2pBT0IUtoKXrfZaRK6Oxuz2yR+ezde6mn+vOG93+TL0VnRUxcazwruZxIEcelNw5WC&#10;z/3r3QJEiJqNtp5JwQ8FWBbXV7nOjB94S/0uViKZcMi0gjrGNkMMZU1Oh5lviZN29J3TMY1dhabT&#10;QzJ3FudSPqHTDaeEWre0rqk87c5OAfZfL4v192DfHqp92OL75vQhN0rd3oyrZxCRxng5hgk/oUOR&#10;mA7+zCYIqyA9EhU8pjKJcj51h78FFjn+py9+AQAA//8DAFBLAQItABQABgAIAAAAIQC2gziS/gAA&#10;AOEBAAATAAAAAAAAAAAAAAAAAAAAAABbQ29udGVudF9UeXBlc10ueG1sUEsBAi0AFAAGAAgAAAAh&#10;ADj9If/WAAAAlAEAAAsAAAAAAAAAAAAAAAAALwEAAF9yZWxzLy5yZWxzUEsBAi0AFAAGAAgAAAAh&#10;AFj7vJUZAgAANAQAAA4AAAAAAAAAAAAAAAAALgIAAGRycy9lMm9Eb2MueG1sUEsBAi0AFAAGAAgA&#10;AAAhAP0uExjaAAAABQEAAA8AAAAAAAAAAAAAAAAAcwQAAGRycy9kb3ducmV2LnhtbFBLBQYAAAAA&#10;BAAEAPMAAAB6BQAAAAA=&#10;" strokecolor="#009ddb" strokeweight="2pt">
                <w10:wrap type="topAndBottom"/>
              </v:line>
            </w:pict>
          </mc:Fallback>
        </mc:AlternateContent>
      </w:r>
    </w:p>
    <w:p w14:paraId="567BC312" w14:textId="77777777" w:rsidR="00FC4E5F" w:rsidRDefault="00FC4E5F"/>
    <w:p w14:paraId="64F7609B" w14:textId="77777777" w:rsidR="00FC4E5F" w:rsidRDefault="00082568">
      <w:pPr>
        <w:spacing w:before="120" w:line="300" w:lineRule="atLeast"/>
      </w:pPr>
      <w:r>
        <w:rPr>
          <w:color w:val="000000"/>
        </w:rPr>
        <w:t>2022 hb272, § 1, effective July 6, 2022.</w:t>
      </w:r>
    </w:p>
    <w:p w14:paraId="0141F6B3" w14:textId="77777777" w:rsidR="00FC4E5F" w:rsidRDefault="00082568">
      <w:pPr>
        <w:spacing w:before="120" w:line="260" w:lineRule="atLeast"/>
      </w:pPr>
      <w:r>
        <w:br/>
      </w:r>
      <w:r>
        <w:rPr>
          <w:color w:val="000000"/>
          <w:sz w:val="20"/>
        </w:rPr>
        <w:t>Page’s Ohio Revised Code Annotated</w:t>
      </w:r>
    </w:p>
    <w:p w14:paraId="5AA1E314" w14:textId="77777777" w:rsidR="00FC4E5F" w:rsidRDefault="00082568">
      <w:pPr>
        <w:spacing w:line="260" w:lineRule="atLeast"/>
      </w:pPr>
      <w:r>
        <w:rPr>
          <w:color w:val="000000"/>
          <w:sz w:val="20"/>
        </w:rPr>
        <w:t>Copyright © 2024 All rights reserved.</w:t>
      </w:r>
    </w:p>
    <w:p w14:paraId="0F915CFF" w14:textId="77777777" w:rsidR="00FC4E5F" w:rsidRDefault="00FC4E5F"/>
    <w:p w14:paraId="56A962B3" w14:textId="441E902A" w:rsidR="00FC4E5F" w:rsidRDefault="00082568">
      <w:pPr>
        <w:ind w:left="200"/>
      </w:pP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BE343B" wp14:editId="48CB8E4A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6502400" cy="0"/>
                <wp:effectExtent l="6350" t="11430" r="6350" b="762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779EF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51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NPRGAIAADQEAAAOAAAAZHJzL2Uyb0RvYy54bWysU02P2jAQvVfqf7ByhyRslmUjwqpKoJdt&#10;F2m3P8DYTmLVX7INAVX97x0bgtj2UlXNwRnHMy9v5j0vn45SoAOzjmtVJfk0SxBTRFOuuir59raZ&#10;LBLkPFYUC61YlZyYS55WHz8sB1Oyme61oMwiAFGuHEyV9N6bMk0d6ZnEbqoNU3DYaiuxh63tUmrx&#10;AOhSpLMsm6eDttRYTZhz8LU5HyariN+2jPiXtnXMI1ElwM3H1cZ1F9Z0tcRlZ7HpObnQwP/AQmKu&#10;4KdXqAZ7jPaW/wElObHa6dZPiZapbltOWOwBusmz37p57bFhsRcYjjPXMbn/B0u+HrYWcQraJUhh&#10;CRI9c8XQXZjMYFwJCbXa2tAbOapX86zJd4eUrnusOhYZvp0MlOWhIn1XEjbOAP5u+KIp5OC913FM&#10;x9bKAAkDQMeoxumqBjt6RODj/D6bFRmIRsazFJdjobHOf2ZaohBUiQDOERgfnp0PRHA5poT/KL3h&#10;QkSxhUIDsJ09RGhpoHWnuljstOA0JIYSZ7tdLSw64GCd+MQO4eQ2zeq9ohG4Z5iuL7HHXJxjICJU&#10;wIO2gNolOnvjx2P2uF6sF8WkmM3XkyJrmsmnTV1M5pv84b65a+q6yX8GanlR9pxSpgK70ad58Xc+&#10;uNyYs8OuTr2OJH2PHmcHZMd3JB11DVKeTbHT9LS1o95gzZh8uUbB+7d7iG8v++oXAAAA//8DAFBL&#10;AwQUAAYACAAAACEAYysHsdsAAAAHAQAADwAAAGRycy9kb3ducmV2LnhtbEyPQU/DMAyF70j8h8hI&#10;3FhKhaAqTScEmiYQl21IXL3GNIXG6ZpsK/8eTxzgZvtZ732vmk++VwcaYxfYwPUsA0XcBNtxa+Bt&#10;s7gqQMWEbLEPTAa+KcK8Pj+rsLThyCs6rFOrxIRjiQZcSkOpdWwceYyzMBCL9hFGj0nWsdV2xKOY&#10;+17nWXarPXYsCQ4HenTUfK333gA+LVfpvchf7rpn9/q5WeyWrtgZc3kxPdyDSjSlv2c44Qs61MK0&#10;DXu2UfUGpEgyIBmgTmqW38i0/b3outL/+esfAAAA//8DAFBLAQItABQABgAIAAAAIQC2gziS/gAA&#10;AOEBAAATAAAAAAAAAAAAAAAAAAAAAABbQ29udGVudF9UeXBlc10ueG1sUEsBAi0AFAAGAAgAAAAh&#10;ADj9If/WAAAAlAEAAAsAAAAAAAAAAAAAAAAALwEAAF9yZWxzLy5yZWxzUEsBAi0AFAAGAAgAAAAh&#10;AIc809EYAgAANAQAAA4AAAAAAAAAAAAAAAAALgIAAGRycy9lMm9Eb2MueG1sUEsBAi0AFAAGAAgA&#10;AAAhAGMrB7HbAAAABwEAAA8AAAAAAAAAAAAAAAAAcgQAAGRycy9kb3ducmV2LnhtbFBLBQYAAAAA&#10;BAAEAPMAAAB6BQAAAAA=&#10;" strokeweight="1pt"/>
            </w:pict>
          </mc:Fallback>
        </mc:AlternateContent>
      </w:r>
      <w:r>
        <w:rPr>
          <w:b/>
          <w:color w:val="767676"/>
          <w:sz w:val="16"/>
        </w:rPr>
        <w:t>End of Document</w:t>
      </w:r>
    </w:p>
    <w:sectPr w:rsidR="00FC4E5F">
      <w:type w:val="continuous"/>
      <w:pgSz w:w="12240" w:h="15840"/>
      <w:pgMar w:top="840" w:right="1000" w:bottom="840" w:left="1000" w:header="400" w:footer="4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2BC8B4" w14:textId="77777777" w:rsidR="00000000" w:rsidRDefault="00082568">
      <w:r>
        <w:separator/>
      </w:r>
    </w:p>
  </w:endnote>
  <w:endnote w:type="continuationSeparator" w:id="0">
    <w:p w14:paraId="6187F9D7" w14:textId="77777777" w:rsidR="00000000" w:rsidRDefault="00082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2600"/>
      <w:gridCol w:w="4880"/>
      <w:gridCol w:w="2600"/>
    </w:tblGrid>
    <w:tr w:rsidR="00FC4E5F" w14:paraId="4A3AE846" w14:textId="77777777"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 w14:paraId="352A696D" w14:textId="77777777" w:rsidR="00FC4E5F" w:rsidRDefault="00FC4E5F"/>
      </w:tc>
      <w:tc>
        <w:tcPr>
          <w:tcW w:w="4880" w:type="dxa"/>
          <w:tcMar>
            <w:top w:w="200" w:type="dxa"/>
          </w:tcMar>
          <w:vAlign w:val="center"/>
        </w:tcPr>
        <w:p w14:paraId="371B471A" w14:textId="77777777" w:rsidR="00FC4E5F" w:rsidRDefault="00FC4E5F"/>
      </w:tc>
      <w:tc>
        <w:tcPr>
          <w:tcW w:w="2600" w:type="dxa"/>
          <w:tcMar>
            <w:top w:w="200" w:type="dxa"/>
          </w:tcMar>
          <w:vAlign w:val="center"/>
        </w:tcPr>
        <w:p w14:paraId="2C837561" w14:textId="77777777" w:rsidR="00FC4E5F" w:rsidRDefault="00FC4E5F"/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78E74" w14:textId="77777777" w:rsidR="00FC4E5F" w:rsidRDefault="00082568"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2FE222" w14:textId="77777777" w:rsidR="00000000" w:rsidRDefault="00082568">
      <w:r>
        <w:separator/>
      </w:r>
    </w:p>
  </w:footnote>
  <w:footnote w:type="continuationSeparator" w:id="0">
    <w:p w14:paraId="2D30ABDE" w14:textId="77777777" w:rsidR="00000000" w:rsidRDefault="000825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10080"/>
    </w:tblGrid>
    <w:tr w:rsidR="00FC4E5F" w14:paraId="3D218336" w14:textId="77777777">
      <w:trPr>
        <w:jc w:val="center"/>
      </w:trPr>
      <w:tc>
        <w:tcPr>
          <w:tcW w:w="10080" w:type="dxa"/>
          <w:vAlign w:val="center"/>
        </w:tcPr>
        <w:p w14:paraId="6D930B33" w14:textId="77777777" w:rsidR="00FC4E5F" w:rsidRDefault="00082568">
          <w:pPr>
            <w:jc w:val="right"/>
          </w:pPr>
          <w:r>
            <w:rPr>
              <w:sz w:val="20"/>
            </w:rPr>
            <w:t xml:space="preserve">Page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</w:instrTex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end"/>
          </w:r>
        </w:p>
      </w:tc>
    </w:tr>
    <w:tr w:rsidR="00FC4E5F" w14:paraId="07478506" w14:textId="77777777">
      <w:trPr>
        <w:jc w:val="center"/>
      </w:trPr>
      <w:tc>
        <w:tcPr>
          <w:tcW w:w="10080" w:type="dxa"/>
        </w:tcPr>
        <w:p w14:paraId="49B386CF" w14:textId="77777777" w:rsidR="00FC4E5F" w:rsidRDefault="00082568">
          <w:pPr>
            <w:spacing w:before="60" w:after="200"/>
            <w:jc w:val="center"/>
          </w:pPr>
          <w:r>
            <w:rPr>
              <w:sz w:val="20"/>
            </w:rPr>
            <w:t>§ 1349.74 Unfair or deceptive acts or practice; enforcement by attorney general; adoption of rules.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82568"/>
    <w:rsid w:val="00A77B3E"/>
    <w:rsid w:val="00CA2A55"/>
    <w:rsid w:val="00FC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1FD476B9"/>
  <w15:docId w15:val="{1CA81C3D-E04C-41FF-8675-92888943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1FD80AA6EE7048A1D38BB6CEE4FAE5" ma:contentTypeVersion="17" ma:contentTypeDescription="Create a new document." ma:contentTypeScope="" ma:versionID="e1f4454beee73c25776be75d8ba1dbfd">
  <xsd:schema xmlns:xsd="http://www.w3.org/2001/XMLSchema" xmlns:xs="http://www.w3.org/2001/XMLSchema" xmlns:p="http://schemas.microsoft.com/office/2006/metadata/properties" xmlns:ns3="55d6ef15-79d8-436f-a155-0c3446167541" xmlns:ns4="4e6a8aeb-c29e-4a8a-85db-b95bdfea3467" targetNamespace="http://schemas.microsoft.com/office/2006/metadata/properties" ma:root="true" ma:fieldsID="6651c3938b893f32ab9b9cc8f19019f3" ns3:_="" ns4:_="">
    <xsd:import namespace="55d6ef15-79d8-436f-a155-0c3446167541"/>
    <xsd:import namespace="4e6a8aeb-c29e-4a8a-85db-b95bdfea346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6ef15-79d8-436f-a155-0c34461675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a8aeb-c29e-4a8a-85db-b95bdfea34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6a8aeb-c29e-4a8a-85db-b95bdfea3467" xsi:nil="true"/>
  </documentManagement>
</p:properties>
</file>

<file path=customXml/itemProps1.xml><?xml version="1.0" encoding="utf-8"?>
<ds:datastoreItem xmlns:ds="http://schemas.openxmlformats.org/officeDocument/2006/customXml" ds:itemID="{C8D5BB15-58A0-4A88-B320-997111E68F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d6ef15-79d8-436f-a155-0c3446167541"/>
    <ds:schemaRef ds:uri="4e6a8aeb-c29e-4a8a-85db-b95bdfea34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FDFE1D-4DA0-409A-839C-E395557ADE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8EA329-14F8-44E2-B382-9DF0BD92825E}">
  <ds:schemaRefs>
    <ds:schemaRef ds:uri="http://schemas.microsoft.com/office/2006/metadata/properties"/>
    <ds:schemaRef ds:uri="http://purl.org/dc/terms/"/>
    <ds:schemaRef ds:uri="4e6a8aeb-c29e-4a8a-85db-b95bdfea3467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55d6ef15-79d8-436f-a155-0c344616754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1475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§ 1349.74 Unfair or deceptive acts or practice; enforcement by attorney general; adoption of rules.</vt:lpstr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1349.74 Unfair or deceptive acts or practice; enforcement by attorney general; adoption of rules.</dc:title>
  <dc:creator>Trayce Hockstad</dc:creator>
  <cp:lastModifiedBy>Trayce Hockstad</cp:lastModifiedBy>
  <cp:revision>2</cp:revision>
  <dcterms:created xsi:type="dcterms:W3CDTF">2024-06-11T19:12:00Z</dcterms:created>
  <dcterms:modified xsi:type="dcterms:W3CDTF">2024-06-11T19:12:00Z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226399989</vt:lpwstr>
  </property>
  <property fmtid="{D5CDD505-2E9C-101B-9397-08002B2CF9AE}" pid="3" name="LADocCount">
    <vt:lpwstr>1</vt:lpwstr>
  </property>
  <property fmtid="{D5CDD505-2E9C-101B-9397-08002B2CF9AE}" pid="4" name="LADocumentID:urn:contentItem:6576-KV93-CGX8-036D-00000-00">
    <vt:lpwstr>Doc::/shared/document|contextualFeaturePermID::1519360</vt:lpwstr>
  </property>
  <property fmtid="{D5CDD505-2E9C-101B-9397-08002B2CF9AE}" pid="5" name="UserPermID">
    <vt:lpwstr>urn:user:PA186163333</vt:lpwstr>
  </property>
  <property fmtid="{D5CDD505-2E9C-101B-9397-08002B2CF9AE}" pid="6" name="ContentTypeId">
    <vt:lpwstr>0x010100B91FD80AA6EE7048A1D38BB6CEE4FAE5</vt:lpwstr>
  </property>
</Properties>
</file>