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E92DB" w14:textId="77777777" w:rsidR="005979C9" w:rsidRDefault="005979C9">
      <w:pPr>
        <w:sectPr w:rsidR="005979C9">
          <w:headerReference w:type="default" r:id="rId9"/>
          <w:footerReference w:type="default" r:id="rId10"/>
          <w:footerReference w:type="first" r:id="rId11"/>
          <w:pgSz w:w="12240" w:h="15840"/>
          <w:pgMar w:top="840" w:right="1000" w:bottom="840" w:left="1000" w:header="400" w:footer="400" w:gutter="0"/>
          <w:cols w:space="720"/>
          <w:titlePg/>
        </w:sectPr>
      </w:pPr>
      <w:bookmarkStart w:id="0" w:name="_GoBack"/>
      <w:bookmarkEnd w:id="0"/>
    </w:p>
    <w:p w14:paraId="44E4ACB5" w14:textId="77777777" w:rsidR="005979C9" w:rsidRDefault="005979C9"/>
    <w:p w14:paraId="13C26ABB" w14:textId="77777777" w:rsidR="005979C9" w:rsidRDefault="008C15F5">
      <w:pPr>
        <w:pStyle w:val="Heading1"/>
        <w:keepNext w:val="0"/>
        <w:spacing w:after="200" w:line="340" w:lineRule="atLeast"/>
        <w:jc w:val="center"/>
      </w:pPr>
      <w:r>
        <w:rPr>
          <w:rFonts w:ascii="Times" w:hAnsi="Times" w:cs="Times"/>
          <w:color w:val="000000"/>
          <w:sz w:val="28"/>
        </w:rPr>
        <w:t>ORC Ann. 1349.78</w:t>
      </w:r>
    </w:p>
    <w:p w14:paraId="24854CA5" w14:textId="77777777" w:rsidR="005979C9" w:rsidRDefault="008C15F5">
      <w:pPr>
        <w:spacing w:before="120" w:line="300" w:lineRule="atLeast"/>
        <w:jc w:val="center"/>
      </w:pPr>
      <w:r>
        <w:rPr>
          <w:color w:val="000000"/>
        </w:rPr>
        <w:t xml:space="preserve">Current through File </w:t>
      </w:r>
      <w:r>
        <w:rPr>
          <w:color w:val="000000"/>
        </w:rPr>
        <w:t>26 of the 135th General Assembly (2023-2024).</w:t>
      </w:r>
    </w:p>
    <w:p w14:paraId="28DA1F13" w14:textId="77777777" w:rsidR="005979C9" w:rsidRDefault="005979C9">
      <w:pPr>
        <w:spacing w:line="240" w:lineRule="atLeast"/>
        <w:jc w:val="both"/>
      </w:pPr>
      <w:bookmarkStart w:id="1" w:name="Bookmark_56"/>
      <w:bookmarkEnd w:id="1"/>
    </w:p>
    <w:p w14:paraId="52E6DA2B" w14:textId="77777777" w:rsidR="005979C9" w:rsidRDefault="008C15F5">
      <w:pPr>
        <w:spacing w:before="200" w:line="280" w:lineRule="atLeast"/>
      </w:pPr>
      <w:r>
        <w:rPr>
          <w:b/>
          <w:i/>
          <w:color w:val="000000"/>
          <w:sz w:val="22"/>
        </w:rPr>
        <w:t>Page’s Ohio Revised Code Annotated</w:t>
      </w:r>
      <w:r>
        <w:rPr>
          <w:b/>
          <w:color w:val="000000"/>
          <w:sz w:val="22"/>
        </w:rPr>
        <w:t xml:space="preserve">  &gt;  </w:t>
      </w:r>
      <w:r>
        <w:rPr>
          <w:b/>
          <w:i/>
          <w:color w:val="000000"/>
          <w:sz w:val="22"/>
        </w:rPr>
        <w:t>Title 13: Commercial Transactions — Other Commercial Transactions (Chs. 1301 — 1355)</w:t>
      </w:r>
      <w:r>
        <w:rPr>
          <w:b/>
          <w:color w:val="000000"/>
          <w:sz w:val="22"/>
        </w:rPr>
        <w:t xml:space="preserve">  &gt;  </w:t>
      </w:r>
      <w:r>
        <w:rPr>
          <w:b/>
          <w:i/>
          <w:color w:val="000000"/>
          <w:sz w:val="22"/>
        </w:rPr>
        <w:t>Chapter 1349: Consumer Protection (§§ 1349.01 — 1349.99)</w:t>
      </w:r>
      <w:r>
        <w:rPr>
          <w:b/>
          <w:color w:val="000000"/>
          <w:sz w:val="22"/>
        </w:rPr>
        <w:t xml:space="preserve">  &gt;  </w:t>
      </w:r>
      <w:r>
        <w:rPr>
          <w:b/>
          <w:i/>
          <w:color w:val="000000"/>
          <w:sz w:val="22"/>
        </w:rPr>
        <w:t>Consumer Finance Edu</w:t>
      </w:r>
      <w:r>
        <w:rPr>
          <w:b/>
          <w:i/>
          <w:color w:val="000000"/>
          <w:sz w:val="22"/>
        </w:rPr>
        <w:t>cation Board (§§ 1349.70 — 1349.78)</w:t>
      </w:r>
    </w:p>
    <w:p w14:paraId="7D4C7B49" w14:textId="77777777" w:rsidR="005979C9" w:rsidRDefault="008C15F5">
      <w:pPr>
        <w:keepNext/>
        <w:spacing w:before="240" w:line="340" w:lineRule="atLeast"/>
      </w:pPr>
      <w:r>
        <w:br/>
      </w:r>
      <w:r>
        <w:rPr>
          <w:b/>
          <w:color w:val="000000"/>
          <w:sz w:val="28"/>
        </w:rPr>
        <w:t>§ 1349.78 Intent of general assembly in enactment; uniform statewide policy.</w:t>
      </w:r>
    </w:p>
    <w:p w14:paraId="7A228D49" w14:textId="54339355" w:rsidR="005979C9" w:rsidRDefault="008C15F5">
      <w:pPr>
        <w:spacing w:line="60" w:lineRule="exact"/>
      </w:pPr>
      <w:r>
        <w:rPr>
          <w:noProof/>
        </w:rPr>
        <mc:AlternateContent>
          <mc:Choice Requires="wps">
            <w:drawing>
              <wp:anchor distT="0" distB="0" distL="114300" distR="114300" simplePos="0" relativeHeight="251658240" behindDoc="0" locked="0" layoutInCell="1" allowOverlap="1" wp14:anchorId="2A3AEA8B" wp14:editId="65A3B3BF">
                <wp:simplePos x="0" y="0"/>
                <wp:positionH relativeFrom="column">
                  <wp:posOffset>0</wp:posOffset>
                </wp:positionH>
                <wp:positionV relativeFrom="paragraph">
                  <wp:posOffset>25400</wp:posOffset>
                </wp:positionV>
                <wp:extent cx="6502400" cy="0"/>
                <wp:effectExtent l="15875" t="14605" r="15875" b="1397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CD6FDB"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CQbVpB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1A932DC5" w14:textId="77777777" w:rsidR="005979C9" w:rsidRDefault="005979C9"/>
    <w:p w14:paraId="1B4FA8F9" w14:textId="77777777" w:rsidR="005979C9" w:rsidRDefault="008C15F5">
      <w:pPr>
        <w:spacing w:before="120" w:line="300" w:lineRule="atLeast"/>
        <w:ind w:left="720"/>
      </w:pPr>
      <w:r>
        <w:rPr>
          <w:b/>
        </w:rPr>
        <w:t xml:space="preserve">(A)  </w:t>
      </w:r>
      <w:bookmarkStart w:id="2" w:name="Bookmark__a"/>
      <w:bookmarkEnd w:id="2"/>
      <w:r>
        <w:rPr>
          <w:color w:val="000000"/>
        </w:rPr>
        <w:t>Not less than thirty days prior to a person filing a foreclosure action to collect on a debt secured by residential real property, the</w:t>
      </w:r>
      <w:r>
        <w:rPr>
          <w:color w:val="000000"/>
        </w:rPr>
        <w:t xml:space="preserve"> person shall first send a written notice as described in division (B) of this section via United States mail to the residential address of the debtor, if both of the following apply:</w:t>
      </w:r>
    </w:p>
    <w:p w14:paraId="5A121A18" w14:textId="77777777" w:rsidR="005979C9" w:rsidRDefault="008C15F5">
      <w:pPr>
        <w:spacing w:before="120" w:line="300" w:lineRule="atLeast"/>
        <w:ind w:left="1080"/>
      </w:pPr>
      <w:r>
        <w:rPr>
          <w:b/>
        </w:rPr>
        <w:t xml:space="preserve">(1)  </w:t>
      </w:r>
      <w:bookmarkStart w:id="3" w:name="Bookmark__a_1"/>
      <w:bookmarkEnd w:id="3"/>
      <w:r>
        <w:rPr>
          <w:color w:val="000000"/>
        </w:rPr>
        <w:t xml:space="preserve">The debt is secured by a mortgage lien on the debtor’s residential </w:t>
      </w:r>
      <w:r>
        <w:rPr>
          <w:color w:val="000000"/>
        </w:rPr>
        <w:t>real property that is not in the first mortgage position.</w:t>
      </w:r>
    </w:p>
    <w:p w14:paraId="037FE90F" w14:textId="77777777" w:rsidR="005979C9" w:rsidRDefault="008C15F5">
      <w:pPr>
        <w:spacing w:before="120" w:line="300" w:lineRule="atLeast"/>
        <w:ind w:left="1080"/>
      </w:pPr>
      <w:r>
        <w:rPr>
          <w:b/>
        </w:rPr>
        <w:t xml:space="preserve">(2)  </w:t>
      </w:r>
      <w:bookmarkStart w:id="4" w:name="Bookmark__a_2"/>
      <w:bookmarkEnd w:id="4"/>
      <w:r>
        <w:rPr>
          <w:color w:val="000000"/>
        </w:rPr>
        <w:t>The debt has either been accelerated or is in default in accordance with the terms set forth in the promissory note.</w:t>
      </w:r>
    </w:p>
    <w:p w14:paraId="5D1C8BDC" w14:textId="77777777" w:rsidR="005979C9" w:rsidRDefault="008C15F5">
      <w:pPr>
        <w:spacing w:before="120" w:line="300" w:lineRule="atLeast"/>
        <w:ind w:left="720"/>
      </w:pPr>
      <w:r>
        <w:rPr>
          <w:b/>
        </w:rPr>
        <w:t xml:space="preserve">(B)  </w:t>
      </w:r>
      <w:bookmarkStart w:id="5" w:name="Bookmark__b"/>
      <w:bookmarkEnd w:id="5"/>
      <w:r>
        <w:rPr>
          <w:color w:val="000000"/>
        </w:rPr>
        <w:t xml:space="preserve">The written notice may be included on, or accompany, any other </w:t>
      </w:r>
      <w:r>
        <w:rPr>
          <w:color w:val="000000"/>
        </w:rPr>
        <w:t>communication, and shall be printed in at least twelve-point type and include the following:</w:t>
      </w:r>
    </w:p>
    <w:p w14:paraId="2B2E6598" w14:textId="77777777" w:rsidR="005979C9" w:rsidRDefault="008C15F5">
      <w:pPr>
        <w:spacing w:before="120" w:line="300" w:lineRule="atLeast"/>
        <w:ind w:left="1080"/>
      </w:pPr>
      <w:r>
        <w:rPr>
          <w:b/>
        </w:rPr>
        <w:t xml:space="preserve">(1)  </w:t>
      </w:r>
      <w:bookmarkStart w:id="6" w:name="Bookmark__b_1"/>
      <w:bookmarkEnd w:id="6"/>
      <w:r>
        <w:rPr>
          <w:color w:val="000000"/>
        </w:rPr>
        <w:t>The name and contact information of the person collecting the debt;</w:t>
      </w:r>
    </w:p>
    <w:p w14:paraId="2DFC368F" w14:textId="77777777" w:rsidR="005979C9" w:rsidRDefault="008C15F5">
      <w:pPr>
        <w:spacing w:before="120" w:line="300" w:lineRule="atLeast"/>
        <w:ind w:left="1080"/>
      </w:pPr>
      <w:r>
        <w:rPr>
          <w:b/>
        </w:rPr>
        <w:t xml:space="preserve">(2)  </w:t>
      </w:r>
      <w:bookmarkStart w:id="7" w:name="Bookmark__b_2"/>
      <w:bookmarkEnd w:id="7"/>
      <w:r>
        <w:rPr>
          <w:color w:val="000000"/>
        </w:rPr>
        <w:t>A statement of the amount of the debt;</w:t>
      </w:r>
    </w:p>
    <w:p w14:paraId="3FC5EA96" w14:textId="77777777" w:rsidR="005979C9" w:rsidRDefault="008C15F5">
      <w:pPr>
        <w:spacing w:before="120" w:line="300" w:lineRule="atLeast"/>
        <w:ind w:left="1080"/>
      </w:pPr>
      <w:r>
        <w:rPr>
          <w:b/>
        </w:rPr>
        <w:t xml:space="preserve">(3)  </w:t>
      </w:r>
      <w:bookmarkStart w:id="8" w:name="Bookmark__b_3"/>
      <w:bookmarkEnd w:id="8"/>
      <w:r>
        <w:rPr>
          <w:color w:val="000000"/>
        </w:rPr>
        <w:t>A statement that the debtor has a right t</w:t>
      </w:r>
      <w:r>
        <w:rPr>
          <w:color w:val="000000"/>
        </w:rPr>
        <w:t>o engage an attorney;</w:t>
      </w:r>
    </w:p>
    <w:p w14:paraId="26C53FC8" w14:textId="77777777" w:rsidR="005979C9" w:rsidRDefault="008C15F5">
      <w:pPr>
        <w:spacing w:before="120" w:line="300" w:lineRule="atLeast"/>
        <w:ind w:left="1080"/>
      </w:pPr>
      <w:r>
        <w:rPr>
          <w:b/>
        </w:rPr>
        <w:t xml:space="preserve">(4)  </w:t>
      </w:r>
      <w:bookmarkStart w:id="9" w:name="Bookmark__b_4"/>
      <w:bookmarkEnd w:id="9"/>
      <w:r>
        <w:rPr>
          <w:color w:val="000000"/>
        </w:rPr>
        <w:t>A statement that the debtor may qualify for debt relief under Chapter 7 or 13 of the United States Bankruptcy Code, 11 U.S.C. Chapter 7 or 13, as amended;</w:t>
      </w:r>
    </w:p>
    <w:p w14:paraId="782C937A" w14:textId="77777777" w:rsidR="005979C9" w:rsidRDefault="008C15F5">
      <w:pPr>
        <w:spacing w:before="120" w:line="300" w:lineRule="atLeast"/>
        <w:ind w:left="1080"/>
      </w:pPr>
      <w:r>
        <w:rPr>
          <w:b/>
        </w:rPr>
        <w:t xml:space="preserve">(5)  </w:t>
      </w:r>
      <w:bookmarkStart w:id="10" w:name="Bookmark__b_5"/>
      <w:bookmarkEnd w:id="10"/>
      <w:r>
        <w:rPr>
          <w:color w:val="000000"/>
        </w:rPr>
        <w:t>A statement that a debtor that qualifies under Chapter 13 of the Unit</w:t>
      </w:r>
      <w:r>
        <w:rPr>
          <w:color w:val="000000"/>
        </w:rPr>
        <w:t>ed States Bankruptcy Code may be able to protect their residential real property from foreclosure.</w:t>
      </w:r>
    </w:p>
    <w:p w14:paraId="61229585" w14:textId="77777777" w:rsidR="005979C9" w:rsidRDefault="008C15F5">
      <w:pPr>
        <w:spacing w:before="120" w:line="300" w:lineRule="atLeast"/>
        <w:ind w:left="720"/>
      </w:pPr>
      <w:r>
        <w:rPr>
          <w:b/>
        </w:rPr>
        <w:t xml:space="preserve">(C)  </w:t>
      </w:r>
      <w:bookmarkStart w:id="11" w:name="Bookmark__c"/>
      <w:bookmarkEnd w:id="11"/>
      <w:r>
        <w:rPr>
          <w:color w:val="000000"/>
        </w:rPr>
        <w:t>Upon written request of the debtor, the owner of the debt shall provide a copy of the note and the loan history to the debtor.</w:t>
      </w:r>
    </w:p>
    <w:p w14:paraId="06CF063B" w14:textId="77777777" w:rsidR="005979C9" w:rsidRDefault="008C15F5">
      <w:pPr>
        <w:spacing w:before="120" w:line="240" w:lineRule="atLeast"/>
        <w:ind w:left="720"/>
      </w:pPr>
      <w:r>
        <w:rPr>
          <w:b/>
        </w:rPr>
        <w:t xml:space="preserve">(D)  </w:t>
      </w:r>
      <w:bookmarkStart w:id="12" w:name="Bookmark__d"/>
      <w:bookmarkEnd w:id="12"/>
    </w:p>
    <w:p w14:paraId="4F2EC306" w14:textId="77777777" w:rsidR="005979C9" w:rsidRDefault="008C15F5">
      <w:pPr>
        <w:spacing w:before="120" w:line="300" w:lineRule="atLeast"/>
        <w:ind w:left="1080"/>
      </w:pPr>
      <w:r>
        <w:rPr>
          <w:b/>
        </w:rPr>
        <w:t xml:space="preserve">(1)  </w:t>
      </w:r>
      <w:bookmarkStart w:id="13" w:name="Bookmark__d_1"/>
      <w:bookmarkEnd w:id="13"/>
      <w:r>
        <w:rPr>
          <w:color w:val="000000"/>
        </w:rPr>
        <w:t>As used in thi</w:t>
      </w:r>
      <w:r>
        <w:rPr>
          <w:color w:val="000000"/>
        </w:rPr>
        <w:t>s division:</w:t>
      </w:r>
    </w:p>
    <w:p w14:paraId="4FFCA2DB" w14:textId="77777777" w:rsidR="005979C9" w:rsidRDefault="008C15F5">
      <w:pPr>
        <w:spacing w:before="120" w:line="300" w:lineRule="atLeast"/>
        <w:ind w:left="1440"/>
      </w:pPr>
      <w:r>
        <w:rPr>
          <w:b/>
        </w:rPr>
        <w:t xml:space="preserve">(a)  </w:t>
      </w:r>
      <w:bookmarkStart w:id="14" w:name="Bookmark__d_1_a"/>
      <w:bookmarkEnd w:id="14"/>
      <w:r>
        <w:rPr>
          <w:color w:val="000000"/>
        </w:rPr>
        <w:t>“Bona fide error” means an unintentional clerical, calculation, computer malfunction or programming, or printing error.</w:t>
      </w:r>
    </w:p>
    <w:p w14:paraId="2A00980E" w14:textId="77777777" w:rsidR="005979C9" w:rsidRDefault="008C15F5">
      <w:pPr>
        <w:spacing w:before="120" w:line="300" w:lineRule="atLeast"/>
        <w:ind w:left="1440"/>
      </w:pPr>
      <w:r>
        <w:rPr>
          <w:b/>
        </w:rPr>
        <w:t xml:space="preserve">(b)  </w:t>
      </w:r>
      <w:bookmarkStart w:id="15" w:name="Bookmark__d_1_b"/>
      <w:bookmarkEnd w:id="15"/>
      <w:r>
        <w:rPr>
          <w:color w:val="000000"/>
        </w:rPr>
        <w:t>“Restitution” means either of the following:</w:t>
      </w:r>
    </w:p>
    <w:p w14:paraId="73D62B86" w14:textId="77777777" w:rsidR="005979C9" w:rsidRDefault="008C15F5">
      <w:pPr>
        <w:spacing w:before="120" w:line="300" w:lineRule="atLeast"/>
        <w:ind w:left="1800"/>
      </w:pPr>
      <w:r>
        <w:rPr>
          <w:b/>
        </w:rPr>
        <w:t xml:space="preserve">(i)  </w:t>
      </w:r>
      <w:bookmarkStart w:id="16" w:name="Bookmark__d_1_b_i"/>
      <w:bookmarkEnd w:id="16"/>
      <w:r>
        <w:rPr>
          <w:color w:val="000000"/>
        </w:rPr>
        <w:t xml:space="preserve">A waiver of all fees, costs, or expenses proximately associated </w:t>
      </w:r>
      <w:r>
        <w:rPr>
          <w:color w:val="000000"/>
        </w:rPr>
        <w:t>with the failure to provide the notice to the debtor; or</w:t>
      </w:r>
    </w:p>
    <w:p w14:paraId="7A5096BB" w14:textId="77777777" w:rsidR="005979C9" w:rsidRDefault="008C15F5">
      <w:pPr>
        <w:spacing w:before="120" w:line="300" w:lineRule="atLeast"/>
        <w:ind w:left="1800"/>
      </w:pPr>
      <w:r>
        <w:rPr>
          <w:b/>
        </w:rPr>
        <w:lastRenderedPageBreak/>
        <w:t xml:space="preserve">(ii)  </w:t>
      </w:r>
      <w:bookmarkStart w:id="17" w:name="Bookmark__d_1_b_ii"/>
      <w:bookmarkEnd w:id="17"/>
      <w:r>
        <w:rPr>
          <w:color w:val="000000"/>
        </w:rPr>
        <w:t>Actual damages.</w:t>
      </w:r>
    </w:p>
    <w:p w14:paraId="00B3893C" w14:textId="77777777" w:rsidR="005979C9" w:rsidRDefault="008C15F5">
      <w:pPr>
        <w:spacing w:before="120" w:line="300" w:lineRule="atLeast"/>
        <w:ind w:left="1080"/>
      </w:pPr>
      <w:r>
        <w:rPr>
          <w:b/>
        </w:rPr>
        <w:t xml:space="preserve">(2)  </w:t>
      </w:r>
      <w:bookmarkStart w:id="18" w:name="Bookmark__d_2"/>
      <w:bookmarkEnd w:id="18"/>
      <w:r>
        <w:rPr>
          <w:color w:val="000000"/>
        </w:rPr>
        <w:t>Any owner of debt subject to divisions (A), (B), and (C) of this section shall not be held civilly liable in any action, if all of the following are met:</w:t>
      </w:r>
    </w:p>
    <w:p w14:paraId="02A47BAC" w14:textId="77777777" w:rsidR="005979C9" w:rsidRDefault="008C15F5">
      <w:pPr>
        <w:spacing w:before="120" w:line="300" w:lineRule="atLeast"/>
        <w:ind w:left="1440"/>
      </w:pPr>
      <w:r>
        <w:rPr>
          <w:b/>
        </w:rPr>
        <w:t xml:space="preserve">(a)  </w:t>
      </w:r>
      <w:bookmarkStart w:id="19" w:name="Bookmark__d_2_a"/>
      <w:bookmarkEnd w:id="19"/>
      <w:r>
        <w:rPr>
          <w:color w:val="000000"/>
        </w:rPr>
        <w:t xml:space="preserve">The owner of </w:t>
      </w:r>
      <w:r>
        <w:rPr>
          <w:color w:val="000000"/>
        </w:rPr>
        <w:t>the debt shows by a preponderance of evidence that the compliance failure was not intentional and resulted from a bona fide error notwithstanding the maintenance of procedures reasonably adapted to avoid any such error.</w:t>
      </w:r>
    </w:p>
    <w:p w14:paraId="7B2923CA" w14:textId="77777777" w:rsidR="005979C9" w:rsidRDefault="008C15F5">
      <w:pPr>
        <w:spacing w:before="120" w:line="300" w:lineRule="atLeast"/>
        <w:ind w:left="1440"/>
      </w:pPr>
      <w:r>
        <w:rPr>
          <w:b/>
        </w:rPr>
        <w:t xml:space="preserve">(b)  </w:t>
      </w:r>
      <w:bookmarkStart w:id="20" w:name="Bookmark__d_2_b"/>
      <w:bookmarkEnd w:id="20"/>
      <w:r>
        <w:rPr>
          <w:color w:val="000000"/>
        </w:rPr>
        <w:t>Within sixty days after discove</w:t>
      </w:r>
      <w:r>
        <w:rPr>
          <w:color w:val="000000"/>
        </w:rPr>
        <w:t>ring the error, and prior to the initiation of any action, the owner of the debt notifies the debtor of the error and the manner in which the owner of the debt intends to make full restitution to the debtor.</w:t>
      </w:r>
    </w:p>
    <w:p w14:paraId="744EEB75" w14:textId="77777777" w:rsidR="005979C9" w:rsidRDefault="008C15F5">
      <w:pPr>
        <w:spacing w:before="120" w:line="300" w:lineRule="atLeast"/>
        <w:ind w:left="1440"/>
      </w:pPr>
      <w:r>
        <w:rPr>
          <w:b/>
        </w:rPr>
        <w:t xml:space="preserve">(c)  </w:t>
      </w:r>
      <w:bookmarkStart w:id="21" w:name="Bookmark__d_2_c"/>
      <w:bookmarkEnd w:id="21"/>
      <w:r>
        <w:rPr>
          <w:color w:val="000000"/>
        </w:rPr>
        <w:t>The owner of the debt promptly makes reason</w:t>
      </w:r>
      <w:r>
        <w:rPr>
          <w:color w:val="000000"/>
        </w:rPr>
        <w:t>able restitution to the debtor.</w:t>
      </w:r>
    </w:p>
    <w:p w14:paraId="12ABEEC1" w14:textId="77777777" w:rsidR="005979C9" w:rsidRDefault="008C15F5">
      <w:pPr>
        <w:spacing w:before="120" w:line="300" w:lineRule="atLeast"/>
        <w:ind w:left="1080"/>
      </w:pPr>
      <w:r>
        <w:rPr>
          <w:b/>
        </w:rPr>
        <w:t xml:space="preserve">(3)  </w:t>
      </w:r>
      <w:bookmarkStart w:id="22" w:name="Bookmark__d_3"/>
      <w:bookmarkEnd w:id="22"/>
      <w:r>
        <w:rPr>
          <w:color w:val="000000"/>
        </w:rPr>
        <w:t xml:space="preserve">If, in the event of a compliance failure, the owner of the debt does not meet the conditions set forth in division (D)(2) of this section, a debtor injured by the error has a cause of action to recover damages. Such an </w:t>
      </w:r>
      <w:r>
        <w:rPr>
          <w:color w:val="000000"/>
        </w:rPr>
        <w:t>action shall not, however, be maintained as a class action.</w:t>
      </w:r>
    </w:p>
    <w:p w14:paraId="68F31058" w14:textId="77777777" w:rsidR="005979C9" w:rsidRDefault="008C15F5">
      <w:pPr>
        <w:keepNext/>
        <w:spacing w:before="240" w:line="340" w:lineRule="atLeast"/>
      </w:pPr>
      <w:bookmarkStart w:id="23" w:name="History"/>
      <w:bookmarkEnd w:id="23"/>
      <w:r>
        <w:rPr>
          <w:b/>
          <w:color w:val="000000"/>
          <w:sz w:val="28"/>
        </w:rPr>
        <w:t>History</w:t>
      </w:r>
    </w:p>
    <w:p w14:paraId="4FC6DC94" w14:textId="1B2DFD13" w:rsidR="005979C9" w:rsidRDefault="008C15F5">
      <w:pPr>
        <w:spacing w:line="60" w:lineRule="exact"/>
      </w:pPr>
      <w:r>
        <w:rPr>
          <w:noProof/>
        </w:rPr>
        <mc:AlternateContent>
          <mc:Choice Requires="wps">
            <w:drawing>
              <wp:anchor distT="0" distB="0" distL="114300" distR="114300" simplePos="0" relativeHeight="251659264" behindDoc="0" locked="0" layoutInCell="1" allowOverlap="1" wp14:anchorId="31449E34" wp14:editId="04285ABF">
                <wp:simplePos x="0" y="0"/>
                <wp:positionH relativeFrom="column">
                  <wp:posOffset>0</wp:posOffset>
                </wp:positionH>
                <wp:positionV relativeFrom="paragraph">
                  <wp:posOffset>25400</wp:posOffset>
                </wp:positionV>
                <wp:extent cx="6502400" cy="0"/>
                <wp:effectExtent l="15875" t="19050" r="15875" b="1905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E4841F"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" strokecolor="#009ddb" strokeweight="2pt">
                <w10:wrap type="topAndBottom"/>
              </v:line>
            </w:pict>
          </mc:Fallback>
        </mc:AlternateContent>
      </w:r>
    </w:p>
    <w:p w14:paraId="1B090717" w14:textId="77777777" w:rsidR="005979C9" w:rsidRDefault="005979C9"/>
    <w:p w14:paraId="4461B15B" w14:textId="77777777" w:rsidR="005979C9" w:rsidRDefault="008C15F5">
      <w:pPr>
        <w:spacing w:before="120" w:line="300" w:lineRule="atLeast"/>
      </w:pPr>
      <w:r>
        <w:rPr>
          <w:color w:val="000000"/>
        </w:rPr>
        <w:t>2018 hb489, § 1, effective March 20, 2019; 021 hb133, § 1, effective September 1, 2021; renumbered from § ORC Ann. 1349.72 by 2022 hb272, § 1, effective July 6, 2022.</w:t>
      </w:r>
    </w:p>
    <w:p w14:paraId="72DDCC25" w14:textId="77777777" w:rsidR="005979C9" w:rsidRDefault="008C15F5">
      <w:pPr>
        <w:spacing w:before="120" w:line="260" w:lineRule="atLeast"/>
      </w:pPr>
      <w:r>
        <w:br/>
      </w:r>
      <w:r>
        <w:rPr>
          <w:color w:val="000000"/>
          <w:sz w:val="20"/>
        </w:rPr>
        <w:t>Page’s Ohio Revis</w:t>
      </w:r>
      <w:r>
        <w:rPr>
          <w:color w:val="000000"/>
          <w:sz w:val="20"/>
        </w:rPr>
        <w:t>ed Code Annotated</w:t>
      </w:r>
    </w:p>
    <w:p w14:paraId="41ED8A59" w14:textId="77777777" w:rsidR="005979C9" w:rsidRDefault="008C15F5">
      <w:pPr>
        <w:spacing w:line="260" w:lineRule="atLeast"/>
      </w:pPr>
      <w:r>
        <w:rPr>
          <w:color w:val="000000"/>
          <w:sz w:val="20"/>
        </w:rPr>
        <w:t>Copyright © 2024 All rights reserved.</w:t>
      </w:r>
    </w:p>
    <w:p w14:paraId="50E1492E" w14:textId="77777777" w:rsidR="005979C9" w:rsidRDefault="005979C9"/>
    <w:p w14:paraId="6DC1432C" w14:textId="5E2ECC21" w:rsidR="005979C9" w:rsidRDefault="008C15F5">
      <w:pPr>
        <w:ind w:left="200"/>
      </w:pPr>
      <w:r>
        <w:br/>
      </w:r>
      <w:r>
        <w:rPr>
          <w:noProof/>
        </w:rPr>
        <mc:AlternateContent>
          <mc:Choice Requires="wps">
            <w:drawing>
              <wp:anchor distT="0" distB="0" distL="114300" distR="114300" simplePos="0" relativeHeight="251660288" behindDoc="0" locked="0" layoutInCell="1" allowOverlap="1" wp14:anchorId="30760436" wp14:editId="717CDCC8">
                <wp:simplePos x="0" y="0"/>
                <wp:positionH relativeFrom="column">
                  <wp:posOffset>0</wp:posOffset>
                </wp:positionH>
                <wp:positionV relativeFrom="paragraph">
                  <wp:posOffset>127000</wp:posOffset>
                </wp:positionV>
                <wp:extent cx="6502400" cy="0"/>
                <wp:effectExtent l="6350" t="14605" r="6350" b="1397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A390D9"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" strokeweight="1pt"/>
            </w:pict>
          </mc:Fallback>
        </mc:AlternateContent>
      </w:r>
      <w:r>
        <w:rPr>
          <w:b/>
          <w:color w:val="767676"/>
          <w:sz w:val="16"/>
        </w:rPr>
        <w:t>End of Document</w:t>
      </w:r>
    </w:p>
    <w:sectPr w:rsidR="005979C9">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2BB713" w14:textId="77777777" w:rsidR="00000000" w:rsidRDefault="008C15F5">
      <w:r>
        <w:separator/>
      </w:r>
    </w:p>
  </w:endnote>
  <w:endnote w:type="continuationSeparator" w:id="0">
    <w:p w14:paraId="19C6339F" w14:textId="77777777" w:rsidR="00000000" w:rsidRDefault="008C1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5979C9" w14:paraId="25CF1805" w14:textId="77777777">
      <w:trPr>
        <w:jc w:val="center"/>
      </w:trPr>
      <w:tc>
        <w:tcPr>
          <w:tcW w:w="2600" w:type="dxa"/>
          <w:tcMar>
            <w:top w:w="200" w:type="dxa"/>
          </w:tcMar>
          <w:vAlign w:val="center"/>
        </w:tcPr>
        <w:p w14:paraId="33F7164B" w14:textId="77777777" w:rsidR="005979C9" w:rsidRDefault="005979C9"/>
      </w:tc>
      <w:tc>
        <w:tcPr>
          <w:tcW w:w="4880" w:type="dxa"/>
          <w:tcMar>
            <w:top w:w="200" w:type="dxa"/>
          </w:tcMar>
          <w:vAlign w:val="center"/>
        </w:tcPr>
        <w:p w14:paraId="291F0AE6" w14:textId="77777777" w:rsidR="005979C9" w:rsidRDefault="005979C9"/>
      </w:tc>
      <w:tc>
        <w:tcPr>
          <w:tcW w:w="2600" w:type="dxa"/>
          <w:tcMar>
            <w:top w:w="200" w:type="dxa"/>
          </w:tcMar>
          <w:vAlign w:val="center"/>
        </w:tcPr>
        <w:p w14:paraId="26F1D041" w14:textId="77777777" w:rsidR="005979C9" w:rsidRDefault="005979C9"/>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DF579" w14:textId="77777777" w:rsidR="005979C9" w:rsidRDefault="008C15F5">
    <w:pPr>
      <w:spacing w:before="200"/>
      <w:jc w:val="center"/>
    </w:pPr>
    <w:r>
      <w:rPr>
        <w:rFonts w:ascii="Arial" w:eastAsia="Arial" w:hAnsi="Arial" w:cs="Arial"/>
        <w:sz w:val="20"/>
      </w:rPr>
      <w:t>Trayce Hockstad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060C36" w14:textId="77777777" w:rsidR="00000000" w:rsidRDefault="008C15F5">
      <w:r>
        <w:separator/>
      </w:r>
    </w:p>
  </w:footnote>
  <w:footnote w:type="continuationSeparator" w:id="0">
    <w:p w14:paraId="2B3B1D44" w14:textId="77777777" w:rsidR="00000000" w:rsidRDefault="008C15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5979C9" w14:paraId="4B642EC6" w14:textId="77777777">
      <w:trPr>
        <w:jc w:val="center"/>
      </w:trPr>
      <w:tc>
        <w:tcPr>
          <w:tcW w:w="10080" w:type="dxa"/>
          <w:vAlign w:val="center"/>
        </w:tcPr>
        <w:p w14:paraId="02D1F301" w14:textId="35523F59" w:rsidR="005979C9" w:rsidRDefault="008C15F5">
          <w:pPr>
            <w:jc w:val="right"/>
          </w:pPr>
          <w:r>
            <w:rPr>
              <w:sz w:val="20"/>
            </w:rPr>
            <w:t xml:space="preserve">Page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noProof/>
              <w:sz w:val="20"/>
            </w:rPr>
            <w:t>2</w:t>
          </w:r>
          <w:r>
            <w:rPr>
              <w:sz w:val="20"/>
            </w:rPr>
            <w:fldChar w:fldCharType="end"/>
          </w:r>
        </w:p>
      </w:tc>
    </w:tr>
    <w:tr w:rsidR="005979C9" w14:paraId="46431759" w14:textId="77777777">
      <w:trPr>
        <w:jc w:val="center"/>
      </w:trPr>
      <w:tc>
        <w:tcPr>
          <w:tcW w:w="10080" w:type="dxa"/>
        </w:tcPr>
        <w:p w14:paraId="5D6351B9" w14:textId="77777777" w:rsidR="005979C9" w:rsidRDefault="008C15F5">
          <w:pPr>
            <w:spacing w:before="60" w:after="200"/>
            <w:jc w:val="center"/>
          </w:pPr>
          <w:r>
            <w:rPr>
              <w:sz w:val="20"/>
            </w:rPr>
            <w:t>§ 1349.78 Intent of general assembly in enactment; uniform statewide policy.</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5979C9"/>
    <w:rsid w:val="008C15F5"/>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6E3A5689"/>
  <w15:docId w15:val="{3D98A898-3C72-432D-B552-CB652E86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A0D2CE19-7118-43B1-B329-8204ADC9DA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7B6756-A7EB-465C-8DB7-E97DAAD26326}">
  <ds:schemaRefs>
    <ds:schemaRef ds:uri="http://schemas.microsoft.com/sharepoint/v3/contenttype/forms"/>
  </ds:schemaRefs>
</ds:datastoreItem>
</file>

<file path=customXml/itemProps3.xml><?xml version="1.0" encoding="utf-8"?>
<ds:datastoreItem xmlns:ds="http://schemas.openxmlformats.org/officeDocument/2006/customXml" ds:itemID="{7F83187A-C9EE-4B54-AEA1-5628018A23B0}">
  <ds:schemaRefs>
    <ds:schemaRef ds:uri="http://schemas.microsoft.com/office/2006/metadata/properties"/>
    <ds:schemaRef ds:uri="55d6ef15-79d8-436f-a155-0c3446167541"/>
    <ds:schemaRef ds:uri="http://purl.org/dc/terms/"/>
    <ds:schemaRef ds:uri="4e6a8aeb-c29e-4a8a-85db-b95bdfea3467"/>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512</Words>
  <Characters>2923</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1349.78 Intent of general assembly in enactment; uniform statewide policy.</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1349.78 Intent of general assembly in enactment; uniform statewide policy.</dc:title>
  <dc:creator>Trayce Hockstad</dc:creator>
  <cp:lastModifiedBy>Trayce Hockstad</cp:lastModifiedBy>
  <cp:revision>2</cp:revision>
  <dcterms:created xsi:type="dcterms:W3CDTF">2024-06-11T19:12:00Z</dcterms:created>
  <dcterms:modified xsi:type="dcterms:W3CDTF">2024-06-11T19:12:00Z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226399989</vt:lpwstr>
  </property>
  <property fmtid="{D5CDD505-2E9C-101B-9397-08002B2CF9AE}" pid="3" name="LADocCount">
    <vt:lpwstr>1</vt:lpwstr>
  </property>
  <property fmtid="{D5CDD505-2E9C-101B-9397-08002B2CF9AE}" pid="4" name="LADocumentID:urn:contentItem:658V-RSC3-CGX8-02DH-00000-00">
    <vt:lpwstr>Doc::/shared/document|contextualFeaturePermID::1519360</vt:lpwstr>
  </property>
  <property fmtid="{D5CDD505-2E9C-101B-9397-08002B2CF9AE}" pid="5" name="UserPermID">
    <vt:lpwstr>urn:user:PA186163333</vt:lpwstr>
  </property>
  <property fmtid="{D5CDD505-2E9C-101B-9397-08002B2CF9AE}" pid="6" name="ContentTypeId">
    <vt:lpwstr>0x010100B91FD80AA6EE7048A1D38BB6CEE4FAE5</vt:lpwstr>
  </property>
</Properties>
</file>