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40 Pa.C.S. § 4518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Insurance (Pts.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Regulation of Insurers and Related Persons Generally (Chs. 33 — 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45. Insurance Data Security (Subchs.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B. Procedures (§§ 4511 — 4518)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4518. Notification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Notification to commissioner.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licensee shall notify the commissioner as promptly as possible, but in no event later than five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of the licensee has occurred when either of the following criteria have been met: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residing in this Commonwealth or any material part of the normal operations of the licensee and either:</w:t>
      </w:r>
    </w:p>
    <w:p>
      <w:pPr>
        <w:keepNext w:val="0"/>
        <w:spacing w:before="120" w:after="0" w:line="300" w:lineRule="atLeast"/>
        <w:ind w:left="1440" w:right="0"/>
        <w:jc w:val="left"/>
      </w:pPr>
      <w:r>
        <w:rPr>
          <w:b/>
        </w:rPr>
        <w:t xml:space="preserve">(i)  </w:t>
      </w:r>
      <w:bookmarkStart w:id="3" w:name="Bookmark__a_1_i"/>
      <w:bookmarkEnd w:id="3"/>
      <w:r>
        <w:rPr>
          <w:rFonts w:ascii="times" w:eastAsia="times" w:hAnsi="times" w:cs="times"/>
          <w:b w:val="0"/>
          <w:i w:val="0"/>
          <w:strike w:val="0"/>
          <w:noProof w:val="0"/>
          <w:color w:val="000000"/>
          <w:position w:val="0"/>
          <w:sz w:val="24"/>
          <w:u w:val="none"/>
          <w:vertAlign w:val="baseline"/>
        </w:rPr>
        <w:t>in the case of an insurer, this Commonwealth is the insurer’s state of domicile; or</w:t>
      </w:r>
    </w:p>
    <w:p>
      <w:pPr>
        <w:keepNext w:val="0"/>
        <w:spacing w:before="120" w:after="0" w:line="300" w:lineRule="atLeast"/>
        <w:ind w:left="1440" w:right="0"/>
        <w:jc w:val="left"/>
      </w:pPr>
      <w:r>
        <w:rPr>
          <w:b/>
        </w:rPr>
        <w:t xml:space="preserve">(ii)  </w:t>
      </w:r>
      <w:bookmarkStart w:id="4" w:name="Bookmark__a_1_ii"/>
      <w:bookmarkEnd w:id="4"/>
      <w:r>
        <w:rPr>
          <w:rFonts w:ascii="times" w:eastAsia="times" w:hAnsi="times" w:cs="times"/>
          <w:b w:val="0"/>
          <w:i w:val="0"/>
          <w:strike w:val="0"/>
          <w:noProof w:val="0"/>
          <w:color w:val="000000"/>
          <w:position w:val="0"/>
          <w:sz w:val="24"/>
          <w:u w:val="none"/>
          <w:vertAlign w:val="baseline"/>
        </w:rPr>
        <w:t>in the case of an insurance producer, as defined in section 601-A of the act of May 17, 1921 (P.L.789, No.285), known as The Insurance Department Act of 1921, this Commonwealth is the insurance producer’s home state.</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involves 250 or more consumers residing in this Commonwealth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(i)  </w:t>
      </w:r>
      <w:bookmarkStart w:id="6" w:name="Bookmark__a_2_i"/>
      <w:bookmarkEnd w:id="6"/>
      <w:r>
        <w:rPr>
          <w:rFonts w:ascii="times" w:eastAsia="times" w:hAnsi="times" w:cs="times"/>
          <w:b w:val="0"/>
          <w:i w:val="0"/>
          <w:strike w:val="0"/>
          <w:noProof w:val="0"/>
          <w:color w:val="000000"/>
          <w:position w:val="0"/>
          <w:sz w:val="24"/>
          <w:u w:val="none"/>
          <w:vertAlign w:val="baseline"/>
        </w:rPr>
        <w:t>impacts the licensee of which notice is required to be provided to a governmental body, self-regulatory agency or another supervisory body under any Federal or State law; or</w:t>
      </w:r>
    </w:p>
    <w:p>
      <w:pPr>
        <w:keepNext w:val="0"/>
        <w:spacing w:before="120" w:after="0" w:line="300" w:lineRule="atLeast"/>
        <w:ind w:left="1440" w:right="0"/>
        <w:jc w:val="left"/>
      </w:pPr>
      <w:r>
        <w:rPr>
          <w:b/>
        </w:rPr>
        <w:t xml:space="preserve">(ii)  </w:t>
      </w:r>
      <w:bookmarkStart w:id="7" w:name="Bookmark__a_2_ii"/>
      <w:bookmarkEnd w:id="7"/>
      <w:r>
        <w:rPr>
          <w:rFonts w:ascii="times" w:eastAsia="times" w:hAnsi="times" w:cs="times"/>
          <w:b w:val="0"/>
          <w:i w:val="0"/>
          <w:strike w:val="0"/>
          <w:noProof w:val="0"/>
          <w:color w:val="000000"/>
          <w:position w:val="0"/>
          <w:sz w:val="24"/>
          <w:u w:val="none"/>
          <w:vertAlign w:val="baseline"/>
        </w:rPr>
        <w:t>has a reasonable likelihood of materially harming a consumer residing in this Commonwealth or any material part of the normal operations of the licensee.</w:t>
      </w:r>
    </w:p>
    <w:p>
      <w:pPr>
        <w:keepNext w:val="0"/>
        <w:spacing w:before="120" w:after="0" w:line="300" w:lineRule="atLeast"/>
        <w:ind w:left="720" w:right="0"/>
        <w:jc w:val="left"/>
      </w:pPr>
      <w:r>
        <w:rPr>
          <w:b/>
        </w:rPr>
        <w:t xml:space="preserve">(b) Content of notification.   </w:t>
      </w:r>
      <w:bookmarkStart w:id="8" w:name="Bookmark__b"/>
      <w:bookmarkEnd w:id="8"/>
      <w:r>
        <w:rPr>
          <w:rFonts w:ascii="times" w:eastAsia="times" w:hAnsi="times" w:cs="times"/>
          <w:b w:val="0"/>
          <w:i w:val="0"/>
          <w:strike w:val="0"/>
          <w:noProof w:val="0"/>
          <w:color w:val="000000"/>
          <w:position w:val="0"/>
          <w:sz w:val="24"/>
          <w:u w:val="none"/>
          <w:vertAlign w:val="baseline"/>
        </w:rPr>
        <w:t>As part of the notification under this section, a licensee shall provide as much of the following information as possible in electronic form:</w:t>
      </w:r>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(3)  </w:t>
      </w:r>
      <w:bookmarkStart w:id="11" w:name="Bookmark__b_3"/>
      <w:bookmarkEnd w:id="11"/>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(4)  </w:t>
      </w:r>
      <w:bookmarkStart w:id="12" w:name="Bookmark__b_4"/>
      <w:bookmarkEnd w:id="12"/>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(5)  </w:t>
      </w:r>
      <w:bookmarkStart w:id="13" w:name="Bookmark__b_5"/>
      <w:bookmarkEnd w:id="13"/>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(6)  </w:t>
      </w:r>
      <w:bookmarkStart w:id="14" w:name="Bookmark__b_6"/>
      <w:bookmarkEnd w:id="14"/>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governmental or law enforcement agency and, if so, when the notification was provided.</w:t>
      </w:r>
    </w:p>
    <w:p>
      <w:pPr>
        <w:keepNext w:val="0"/>
        <w:spacing w:before="120" w:after="0" w:line="300" w:lineRule="atLeast"/>
        <w:ind w:left="1080" w:right="0"/>
        <w:jc w:val="left"/>
      </w:pPr>
      <w:r>
        <w:rPr>
          <w:b/>
        </w:rPr>
        <w:t xml:space="preserve">(7)  </w:t>
      </w:r>
      <w:bookmarkStart w:id="15" w:name="Bookmark__b_7"/>
      <w:bookmarkEnd w:id="15"/>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including particular data elements such as the types of medical information, financial information or other types of information allowing identification of the consumer.</w:t>
      </w:r>
    </w:p>
    <w:p>
      <w:pPr>
        <w:keepNext w:val="0"/>
        <w:spacing w:before="120" w:after="0" w:line="300" w:lineRule="atLeast"/>
        <w:ind w:left="1080" w:right="0"/>
        <w:jc w:val="left"/>
      </w:pPr>
      <w:r>
        <w:rPr>
          <w:b/>
        </w:rPr>
        <w:t xml:space="preserve">(8)  </w:t>
      </w:r>
      <w:bookmarkStart w:id="16" w:name="Bookmark__b_8"/>
      <w:bookmarkEnd w:id="16"/>
      <w:r>
        <w:rPr>
          <w:rFonts w:ascii="times" w:eastAsia="times" w:hAnsi="times" w:cs="times"/>
          <w:b w:val="0"/>
          <w:i w:val="0"/>
          <w:strike w:val="0"/>
          <w:noProof w:val="0"/>
          <w:color w:val="000000"/>
          <w:position w:val="0"/>
          <w:sz w:val="24"/>
          <w:u w:val="none"/>
          <w:vertAlign w:val="baseline"/>
        </w:rPr>
        <w:t xml:space="preserve">The period during which the information systems were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17" w:name="Bookmark__b_9"/>
      <w:bookmarkEnd w:id="17"/>
      <w:r>
        <w:rPr>
          <w:rFonts w:ascii="times" w:eastAsia="times" w:hAnsi="times" w:cs="times"/>
          <w:b w:val="0"/>
          <w:i w:val="0"/>
          <w:strike w:val="0"/>
          <w:noProof w:val="0"/>
          <w:color w:val="000000"/>
          <w:position w:val="0"/>
          <w:sz w:val="24"/>
          <w:u w:val="none"/>
          <w:vertAlign w:val="baseline"/>
        </w:rPr>
        <w:t xml:space="preserve">The number of total consumers in this Commonwealth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commissioner and update this estimate with each subsequent report to the commissioner under this section.</w:t>
      </w:r>
    </w:p>
    <w:p>
      <w:pPr>
        <w:keepNext w:val="0"/>
        <w:spacing w:before="120" w:after="0" w:line="300" w:lineRule="atLeast"/>
        <w:ind w:left="1080" w:right="0"/>
        <w:jc w:val="left"/>
      </w:pPr>
      <w:r>
        <w:rPr>
          <w:b/>
        </w:rPr>
        <w:t xml:space="preserve">(10)  </w:t>
      </w:r>
      <w:bookmarkStart w:id="18" w:name="Bookmark__b_10"/>
      <w:bookmarkEnd w:id="18"/>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(11)  </w:t>
      </w:r>
      <w:bookmarkStart w:id="19" w:name="Bookmark__b_11"/>
      <w:bookmarkEnd w:id="19"/>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(12)  </w:t>
      </w:r>
      <w:bookmarkStart w:id="20" w:name="Bookmark__b_12"/>
      <w:bookmarkEnd w:id="20"/>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that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(13)  </w:t>
      </w:r>
      <w:bookmarkStart w:id="21" w:name="Bookmark__b_13"/>
      <w:bookmarkEnd w:id="21"/>
      <w:r>
        <w:rPr>
          <w:rFonts w:ascii="times" w:eastAsia="times" w:hAnsi="times" w:cs="times"/>
          <w:b w:val="0"/>
          <w:i w:val="0"/>
          <w:strike w:val="0"/>
          <w:noProof w:val="0"/>
          <w:color w:val="000000"/>
          <w:position w:val="0"/>
          <w:sz w:val="24"/>
          <w:u w:val="none"/>
          <w:vertAlign w:val="baseline"/>
        </w:rPr>
        <w:t xml:space="preserve">The name of a contact person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(c) Continuing obligation.   </w:t>
      </w:r>
      <w:bookmarkStart w:id="22" w:name="Bookmark__c"/>
      <w:bookmarkEnd w:id="22"/>
      <w:r>
        <w:rPr>
          <w:rFonts w:ascii="times" w:eastAsia="times" w:hAnsi="times" w:cs="times"/>
          <w:b w:val="0"/>
          <w:i w:val="0"/>
          <w:strike w:val="0"/>
          <w:noProof w:val="0"/>
          <w:color w:val="000000"/>
          <w:position w:val="0"/>
          <w:sz w:val="24"/>
          <w:u w:val="none"/>
          <w:vertAlign w:val="baseline"/>
        </w:rPr>
        <w:t xml:space="preserve">A licensee shall have a continuing obligation to update and supplement initial and subsequent notifications to the commissioner regarding material changes to previously provided information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(d) Other notices required.   </w:t>
      </w:r>
      <w:bookmarkStart w:id="23" w:name="Bookmark__d"/>
      <w:bookmarkEnd w:id="23"/>
      <w:r>
        <w:rPr>
          <w:rFonts w:ascii="times" w:eastAsia="times" w:hAnsi="times" w:cs="times"/>
          <w:b w:val="0"/>
          <w:i w:val="0"/>
          <w:strike w:val="0"/>
          <w:noProof w:val="0"/>
          <w:color w:val="000000"/>
          <w:position w:val="0"/>
          <w:sz w:val="24"/>
          <w:u w:val="none"/>
          <w:vertAlign w:val="baseline"/>
        </w:rPr>
        <w:t>A licensee shall comply with section 3 of the act of December 22, 2005 (P.L.474, No.94), known as the Breach of Personal Information Notification Act, as applicable, and provide a copy of the notice sent to consumers under the Breach of Personal Information Notification Act to the commissioner, whenever the licensee is required to notify the commissioner under subsection (a).</w:t>
      </w:r>
    </w:p>
    <w:p>
      <w:pPr>
        <w:spacing w:before="120" w:line="240" w:lineRule="atLeast"/>
        <w:ind w:left="720"/>
      </w:pPr>
      <w:r>
        <w:rPr>
          <w:b/>
        </w:rPr>
        <w:t xml:space="preserve">(e) Notice regarding cybersecurity events of third-party service providers.  </w:t>
      </w:r>
      <w:bookmarkStart w:id="24" w:name="Bookmark__e"/>
      <w:bookmarkEnd w:id="24"/>
    </w:p>
    <w:p>
      <w:pPr>
        <w:keepNext w:val="0"/>
        <w:spacing w:before="120" w:after="0" w:line="300" w:lineRule="atLeast"/>
        <w:ind w:left="1080" w:right="0"/>
        <w:jc w:val="left"/>
      </w:pPr>
      <w:r>
        <w:rPr>
          <w:b/>
        </w:rPr>
        <w:t xml:space="preserve">(1)  </w:t>
      </w:r>
      <w:bookmarkStart w:id="25" w:name="Bookmark__e_1"/>
      <w:bookmarkEnd w:id="25"/>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 the licensee shall treat the event as it would under subsection (a) unless the third-party service provider provides the notice required under subsection (a) directly to the commissioner.</w:t>
      </w:r>
    </w:p>
    <w:p>
      <w:pPr>
        <w:keepNext w:val="0"/>
        <w:spacing w:before="120" w:after="0" w:line="300" w:lineRule="atLeast"/>
        <w:ind w:left="1080" w:right="0"/>
        <w:jc w:val="left"/>
      </w:pPr>
      <w:r>
        <w:rPr>
          <w:b/>
        </w:rPr>
        <w:t xml:space="preserve">(2)  </w:t>
      </w:r>
      <w:bookmarkStart w:id="26" w:name="Bookmark__e_2"/>
      <w:bookmarkEnd w:id="26"/>
      <w:r>
        <w:rPr>
          <w:rFonts w:ascii="times" w:eastAsia="times" w:hAnsi="times" w:cs="times"/>
          <w:b w:val="0"/>
          <w:i w:val="0"/>
          <w:strike w:val="0"/>
          <w:noProof w:val="0"/>
          <w:color w:val="000000"/>
          <w:position w:val="0"/>
          <w:sz w:val="24"/>
          <w:u w:val="none"/>
          <w:vertAlign w:val="baseline"/>
        </w:rPr>
        <w:t xml:space="preserve">The computation of a licensee’s deadlines under this section shall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spacing w:before="120" w:line="240" w:lineRule="atLeast"/>
        <w:ind w:left="720"/>
      </w:pPr>
      <w:r>
        <w:rPr>
          <w:b/>
        </w:rPr>
        <w:t xml:space="preserve">(f) Notice regarding cybersecurity events of reinsurers to insurers.  </w:t>
      </w:r>
      <w:bookmarkStart w:id="27" w:name="Bookmark__f"/>
      <w:bookmarkEnd w:id="27"/>
    </w:p>
    <w:p>
      <w:pPr>
        <w:keepNext w:val="0"/>
        <w:spacing w:before="120" w:after="0" w:line="300" w:lineRule="atLeast"/>
        <w:ind w:left="1080" w:right="0"/>
        <w:jc w:val="left"/>
      </w:pPr>
      <w:r>
        <w:rPr>
          <w:b/>
        </w:rPr>
        <w:t xml:space="preserve">(1)  </w:t>
      </w:r>
      <w:bookmarkStart w:id="28" w:name="Bookmark__f_1"/>
      <w:bookmarkEnd w:id="28"/>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a licensee, which is acting as an assuming insurer, or that is in the possession, custody or control of a licensee, which is acting as an assuming insurer and which does not have a direct contractual relationship with the affected consumers, the assuming insurer shall notify its affected ceding insurers and the commissioner of its state of domicile within three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The ceding insurers that have a direct contractual relationship with the affected consumers shall fulfill the consumer notification requirements imposed under section 3 of the Breach of Personal Information Notification Act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(2)  </w:t>
      </w:r>
      <w:bookmarkStart w:id="29" w:name="Bookmark__f_2"/>
      <w:bookmarkEnd w:id="29"/>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its affected ceding insurers and the commissioner of its state of domicile within three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The ceding insurers that have a direct contractual relationship with the affected consumers shall fulfill the consumer notification requirements imposed under section 3 of the Breach of Personal Information Notification Act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1080" w:right="0"/>
        <w:jc w:val="left"/>
      </w:pPr>
      <w:r>
        <w:rPr>
          <w:b/>
        </w:rPr>
        <w:t xml:space="preserve">(3)  </w:t>
      </w:r>
      <w:bookmarkStart w:id="30" w:name="Bookmark__f_3"/>
      <w:bookmarkEnd w:id="30"/>
      <w:r>
        <w:rPr>
          <w:rFonts w:ascii="times" w:eastAsia="times" w:hAnsi="times" w:cs="times"/>
          <w:b w:val="0"/>
          <w:i w:val="0"/>
          <w:strike w:val="0"/>
          <w:noProof w:val="0"/>
          <w:color w:val="000000"/>
          <w:position w:val="0"/>
          <w:sz w:val="24"/>
          <w:u w:val="none"/>
          <w:vertAlign w:val="baseline"/>
        </w:rPr>
        <w:t xml:space="preserve">A licensee acting as an assuming insurer shall have no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other data breach under this section or any other law of this Commonwealth.</w:t>
      </w:r>
    </w:p>
    <w:p>
      <w:pPr>
        <w:keepNext w:val="0"/>
        <w:spacing w:before="120" w:after="0" w:line="300" w:lineRule="atLeast"/>
        <w:ind w:left="720" w:right="0"/>
        <w:jc w:val="left"/>
      </w:pPr>
      <w:r>
        <w:rPr>
          <w:b/>
        </w:rPr>
        <w:t xml:space="preserve">(g) Notice regarding cybersecurity events of insurers to producers of record.   </w:t>
      </w:r>
      <w:bookmarkStart w:id="31" w:name="Bookmark__g"/>
      <w:bookmarkEnd w:id="3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in the possession, custody or control of a licensee that is an insurer or its third-party service provider for which a consumer accessed the insurer’s services through an insurance producer, and for which consumer notice is required under section 3 of the Breach of Personal Information Notification Act, the insurer shall notify the producers of record of all affected consumers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no later than the time at which notice is provided to the affected consumers. The insurer shall be excused from this obligation in those instances in which the insurer does not have the current producer of record information for an individual consumer.</w:t>
      </w:r>
    </w:p>
    <w:p>
      <w:pPr>
        <w:keepNext/>
        <w:spacing w:before="240" w:after="0" w:line="340" w:lineRule="atLeast"/>
        <w:ind w:left="0" w:right="0" w:firstLine="0"/>
        <w:jc w:val="left"/>
      </w:pPr>
      <w:bookmarkStart w:id="32" w:name="History"/>
      <w:bookmarkEnd w:id="3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2023-2 (H.B. 739), § 1, approved June 14, 2023, effective December 11,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40 Pa.C.S. § 4518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Pa.C.S. § 4518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