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40 Pa.C.S. § 4534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40. Insurance (Pts. I — 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Regulation of Insurers and Related Persons Generally (Chs. 33 — 45)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45. Insurance Data Security (Subchs. A — 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D. Miscellaneous Provisions (§§ 4531 — 4536)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4534. Construction with other laws.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Private cause of action. 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chapter shall be construed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 or imply a private cause of action for a violation of this chapter.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Curtail a private cause of action that otherwise exists in the absence of this chapter.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Exclusive standards. 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Notwithstanding any other provision of law, this chapter shall establish the exclusive State standards applicable to licensees for data security, the licensees’ investigation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notification to the commissioner.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2023-2 (H.B. 739), § 1, approved June 14, 2023, effective December 11,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40 Pa.C.S. § 4534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Pa.C.S. § 4534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