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11-52.2-2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Criminal Offenses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52.2 Software Fraud (§§ 11-52.2-1 — 11-52.2-8)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11-52.2-2. Unlawful modification of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settings.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It is unlawful for a person who is not an owner or operator to transmit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the owner or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actual knowledge or with conscious avoidance of actual knowledge and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such software to do any of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Modify, through intentionally deceptive means, settings that control any of the following: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page that appears when an owner or operator launches an internet browser or similar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default provider or web proxy the owner or operator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 and</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The owner or operator’s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web pages;</w:t>
      </w:r>
    </w:p>
    <w:p>
      <w:pPr>
        <w:keepNext w:val="0"/>
        <w:spacing w:before="120" w:after="0" w:line="300" w:lineRule="atLeast"/>
        <w:ind w:left="108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Collect, through intentionally deceptive means, personally identifiable information:</w:t>
      </w:r>
    </w:p>
    <w:p>
      <w:pPr>
        <w:keepNext w:val="0"/>
        <w:spacing w:before="120" w:after="0" w:line="300" w:lineRule="atLeast"/>
        <w:ind w:left="144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all keystrokes made by an owner or operator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44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In a manner that correlates such information with data respecting all or substantially all of the websites visited by an owner or operator, other than websites operated by the person collecting such information; and</w:t>
      </w:r>
    </w:p>
    <w:p>
      <w:pPr>
        <w:keepNext w:val="0"/>
        <w:spacing w:before="120" w:after="0" w:line="300" w:lineRule="atLeast"/>
        <w:ind w:left="144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Described in subsection (10)(d), (e), or (f)(i) or (ii) of § 11-52.2-1 by extracting the information from the owner or operator’s hard drive;</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 xml:space="preserve">Prevent, through intentionally deceptive means, an owner or operator’s reasonable efforts to block the installation or execution of, or to disable,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by causing the software that the owner or operator has properly removed or disabled automatically to reinstall or reactive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 xml:space="preserve">Intentionally misrepresent that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will be uninstalled or disabled by an owner or operator’s action; and</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 xml:space="preserve">Through intentionally deceptive means, remove, disable, or render inoperative security, antispyware, or antivirus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2006, ch. 583,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11-52.2-2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11-52.2-2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