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R.I. Gen. Laws § 42-165-4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24 of the 2024 Session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General Laws of Rhode Island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42 State Affairs and Government (Chs. 1 — 42-165)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165 Rhode Island Longitudinal Data System Act (§§ 42-165-1 — 42-165-7)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42-165-4. Creation.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RILDS is hereby established within the office of the postsecondary commissioner and is granted and authorized to use all the powers set forth in this chapter.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Functions.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RILDS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Transmit, store, enable access to, permit the use, and dispose of linked data and information in accordance with the National Institute of Standards and Technology (NIST)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Framework and associated NIST 800-53 security controls commensurate with data sensitivity level and in accordance with all applicable state and privacy laws and state security policies;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Serve as a central repository of the state’s inter-agency, longitudinal, linked data;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Enable the integration, linkage, and management of information;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Report on and provide public access to aggregate data to, among other things, address inequities in access, opportunities, and outcomes and improve student and educator decision-making;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b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 clarity to university and other researchers on the process to request data and what data is available to request;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8" w:name="Bookmark__b_6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chapter shall negate or otherwise adversely affect the validity and legal enforceability of any existing data sharing and/or research agreements executed between and among the state’s participating agencies and the state’s statewide longitudinal data system.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 2023, ch. 79, art. 3, § 10, effective June 16,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General Laws of Rhode Island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R.I. Gen. Laws § 42-165-4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R.I. Gen. Laws § 42-165-4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