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Civ. Prac. &amp; Rem. Code § 134A.007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Civil Practice and Remedies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Miscellaneous Provisions (Chs. 121 — 150E)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134A Trade Secrets (§§ 134A.001 — 134A.008)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134A.007. Effect on Other Law.</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by Subsection (b), this chapter displaces conflicting tort, restitutionary, and other law of this state providing civil remedies for misappropriation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This chapter does not affect:</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contractual remedies, whether or not based upon misappropriation of a trade secret;</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other civil remedies that are not based upon misappropriation of a trade secret; or</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criminal remedies, whether or not based upon misappropriation of a trade secret.</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To the extent that this chapter conflicts with the Texas Rules of Civil Procedure, this chapter controls. Notwithstanding Section 22.004, Government Code, the supreme court may not amend or adopt rules in conflict with this chapter.</w:t>
      </w:r>
    </w:p>
    <w:p>
      <w:pPr>
        <w:keepNext w:val="0"/>
        <w:spacing w:before="120" w:after="0" w:line="300" w:lineRule="atLeast"/>
        <w:ind w:left="720" w:right="0"/>
        <w:jc w:val="left"/>
      </w:pPr>
      <w:r>
        <w:rPr>
          <w:b/>
        </w:rPr>
        <w:t xml:space="preserve">(d)  </w:t>
      </w:r>
      <w:bookmarkStart w:id="7" w:name="Bookmark__d"/>
      <w:bookmarkEnd w:id="7"/>
      <w:r>
        <w:rPr>
          <w:rFonts w:ascii="times" w:eastAsia="times" w:hAnsi="times" w:cs="times"/>
          <w:b w:val="0"/>
          <w:i w:val="0"/>
          <w:strike w:val="0"/>
          <w:noProof w:val="0"/>
          <w:color w:val="000000"/>
          <w:position w:val="0"/>
          <w:sz w:val="24"/>
          <w:u w:val="none"/>
          <w:vertAlign w:val="baseline"/>
        </w:rPr>
        <w:t>This chapter does not affect the disclosure of public information by a governmental body under Chapter 552, Government Code.</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2013, 83rd Leg., ch. 10 (S.B. 953), § 1, effective September 1, 2013.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Sec. 134A.007. Effect on Other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134A.007. Effect on Other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225729188</vt:lpwstr>
  </property>
  <property fmtid="{D5CDD505-2E9C-101B-9397-08002B2CF9AE}" pid="3" name="LADocCount">
    <vt:lpwstr>1</vt:lpwstr>
  </property>
  <property fmtid="{D5CDD505-2E9C-101B-9397-08002B2CF9AE}" pid="4" name="LADocumentID:urn:contentItem:5DDJ-B861-JW8X-V06J-00000-00">
    <vt:lpwstr>Doc::/shared/document|contextualFeaturePermID::1519360</vt:lpwstr>
  </property>
  <property fmtid="{D5CDD505-2E9C-101B-9397-08002B2CF9AE}" pid="5" name="UserPermID">
    <vt:lpwstr>urn:user:PA186163333</vt:lpwstr>
  </property>
</Properties>
</file>