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76-6-703.5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76 Utah Criminal Code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Offenses Against Property (Pts.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Utah Computer Crimes Act (§§ 76-6-701 — 76-6-705)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76-6-703.5. Interference or interruption of critical infrastructure.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Terms defined in Sections 76-1-101.5 and 76-6-702 apply to this section.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An actor commits interference or interruption of critical infrastructure if the actor intentionally or knowingly, and without lawful authorization, interferes with or interrupts critical infrastructure.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 violation of Subsection (2) is a third degree felony.</w:t>
      </w:r>
    </w:p>
    <w:p>
      <w:pPr>
        <w:spacing w:before="120" w:line="240" w:lineRule="atLeast"/>
        <w:ind w:left="720"/>
      </w:pPr>
      <w:r>
        <w:rPr>
          <w:b/>
        </w:rPr>
        <w:t xml:space="preserve">(4)  </w:t>
      </w:r>
      <w:bookmarkStart w:id="4" w:name="Bookmark__4"/>
      <w:bookmarkEnd w:id="4"/>
    </w:p>
    <w:p>
      <w:pPr>
        <w:keepNext w:val="0"/>
        <w:spacing w:before="120" w:after="0" w:line="300" w:lineRule="atLeast"/>
        <w:ind w:left="108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 xml:space="preserve">In accordance with 47 U.S.C. Sec. 230, this section may not apply to, and nothing in this section may be construed to impose liability or culpability on, 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for content provided by another person.</w:t>
      </w:r>
    </w:p>
    <w:p>
      <w:pPr>
        <w:keepNext w:val="0"/>
        <w:spacing w:before="120" w:after="0" w:line="300" w:lineRule="atLeast"/>
        <w:ind w:left="108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This section does not affect, limit, or apply to any activity or conduct that is protected by the constitution or laws of this state, or by the constitution or laws of the United States.</w:t>
      </w:r>
    </w:p>
    <w:p>
      <w:pPr>
        <w:spacing w:before="120" w:line="240" w:lineRule="atLeast"/>
        <w:ind w:left="720"/>
      </w:pPr>
      <w:r>
        <w:rPr>
          <w:b/>
        </w:rPr>
        <w:t xml:space="preserve">(5)  </w:t>
      </w:r>
      <w:bookmarkStart w:id="7" w:name="Bookmark__5"/>
      <w:bookmarkEnd w:id="7"/>
    </w:p>
    <w:p>
      <w:pPr>
        <w:keepNext w:val="0"/>
        <w:spacing w:before="120" w:after="0" w:line="300" w:lineRule="atLeast"/>
        <w:ind w:left="1080" w:right="0"/>
        <w:jc w:val="left"/>
      </w:pPr>
      <w:r>
        <w:rPr>
          <w:b/>
        </w:rPr>
        <w:t xml:space="preserve">(a)  </w:t>
      </w:r>
      <w:bookmarkStart w:id="8" w:name="Bookmark__5_a"/>
      <w:bookmarkEnd w:id="8"/>
      <w:r>
        <w:rPr>
          <w:rFonts w:ascii="times" w:eastAsia="times" w:hAnsi="times" w:cs="times"/>
          <w:b w:val="0"/>
          <w:i w:val="0"/>
          <w:strike w:val="0"/>
          <w:noProof w:val="0"/>
          <w:color w:val="000000"/>
          <w:position w:val="0"/>
          <w:sz w:val="24"/>
          <w:u w:val="none"/>
          <w:vertAlign w:val="baseline"/>
        </w:rPr>
        <w:t xml:space="preserve">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is not guilty of violating this section if a person violates this section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and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did not knowingly assist the person to commit the violation.</w:t>
      </w:r>
    </w:p>
    <w:p>
      <w:pPr>
        <w:keepNext w:val="0"/>
        <w:spacing w:before="120" w:after="0" w:line="300" w:lineRule="atLeast"/>
        <w:ind w:left="1080" w:right="0"/>
        <w:jc w:val="left"/>
      </w:pPr>
      <w:r>
        <w:rPr>
          <w:b/>
        </w:rPr>
        <w:t xml:space="preserve">(b)  </w:t>
      </w:r>
      <w:bookmarkStart w:id="9" w:name="Bookmark__5_b"/>
      <w:bookmarkEnd w:id="9"/>
      <w:r>
        <w:rPr>
          <w:rFonts w:ascii="times" w:eastAsia="times" w:hAnsi="times" w:cs="times"/>
          <w:b w:val="0"/>
          <w:i w:val="0"/>
          <w:strike w:val="0"/>
          <w:noProof w:val="0"/>
          <w:color w:val="000000"/>
          <w:position w:val="0"/>
          <w:sz w:val="24"/>
          <w:u w:val="none"/>
          <w:vertAlign w:val="baseline"/>
        </w:rPr>
        <w:t>A service provider is not guilty of violating this section for:</w:t>
      </w:r>
    </w:p>
    <w:p>
      <w:pPr>
        <w:keepNext w:val="0"/>
        <w:spacing w:before="120" w:after="0" w:line="300" w:lineRule="atLeast"/>
        <w:ind w:left="1440" w:right="0"/>
        <w:jc w:val="left"/>
      </w:pPr>
      <w:r>
        <w:rPr>
          <w:b/>
        </w:rPr>
        <w:t xml:space="preserve">(i)  </w:t>
      </w:r>
      <w:bookmarkStart w:id="10" w:name="Bookmark__5_b_i"/>
      <w:bookmarkEnd w:id="10"/>
      <w:r>
        <w:rPr>
          <w:rFonts w:ascii="times" w:eastAsia="times" w:hAnsi="times" w:cs="times"/>
          <w:b w:val="0"/>
          <w:i w:val="0"/>
          <w:strike w:val="0"/>
          <w:noProof w:val="0"/>
          <w:color w:val="000000"/>
          <w:position w:val="0"/>
          <w:sz w:val="24"/>
          <w:u w:val="none"/>
          <w:vertAlign w:val="baseline"/>
        </w:rPr>
        <w:t xml:space="preserve">action taken in relation to a customer of the service provider, for a legitimate business purpose, to install software on, monitor, or interact with the customer’s Internet or other network connection,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for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purposes, authentication, diagnostics, technical support, maintenance, repair, network management, updates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system firmware, or remote system management; or</w:t>
      </w:r>
    </w:p>
    <w:p>
      <w:pPr>
        <w:keepNext w:val="0"/>
        <w:spacing w:before="120" w:after="0" w:line="300" w:lineRule="atLeast"/>
        <w:ind w:left="1440" w:right="0"/>
        <w:jc w:val="left"/>
      </w:pPr>
      <w:r>
        <w:rPr>
          <w:b/>
        </w:rPr>
        <w:t xml:space="preserve">(ii)  </w:t>
      </w:r>
      <w:bookmarkStart w:id="11" w:name="Bookmark__5_b_ii"/>
      <w:bookmarkEnd w:id="11"/>
      <w:r>
        <w:rPr>
          <w:rFonts w:ascii="times" w:eastAsia="times" w:hAnsi="times" w:cs="times"/>
          <w:b w:val="0"/>
          <w:i w:val="0"/>
          <w:strike w:val="0"/>
          <w:noProof w:val="0"/>
          <w:color w:val="000000"/>
          <w:position w:val="0"/>
          <w:sz w:val="24"/>
          <w:u w:val="none"/>
          <w:vertAlign w:val="baseline"/>
        </w:rPr>
        <w:t xml:space="preserve">action taken, including scanning and removing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detect or prevent the following:</w:t>
      </w:r>
    </w:p>
    <w:p>
      <w:pPr>
        <w:keepNext w:val="0"/>
        <w:spacing w:before="120" w:after="0" w:line="300" w:lineRule="atLeast"/>
        <w:ind w:left="1800" w:right="0"/>
        <w:jc w:val="left"/>
      </w:pPr>
      <w:r>
        <w:rPr>
          <w:b/>
        </w:rPr>
        <w:t xml:space="preserve">(A)  </w:t>
      </w:r>
      <w:bookmarkStart w:id="12" w:name="Bookmark__5_b_ii_a"/>
      <w:bookmarkEnd w:id="12"/>
      <w:r>
        <w:rPr>
          <w:rFonts w:ascii="times" w:eastAsia="times" w:hAnsi="times" w:cs="times"/>
          <w:b w:val="0"/>
          <w:i w:val="0"/>
          <w:strike w:val="0"/>
          <w:noProof w:val="0"/>
          <w:color w:val="000000"/>
          <w:position w:val="0"/>
          <w:sz w:val="24"/>
          <w:u w:val="none"/>
          <w:vertAlign w:val="baseline"/>
        </w:rPr>
        <w:t xml:space="preserve">unauthorized or fraudulent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network,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800" w:right="0"/>
        <w:jc w:val="left"/>
      </w:pPr>
      <w:r>
        <w:rPr>
          <w:b/>
        </w:rPr>
        <w:t xml:space="preserve">(B)  </w:t>
      </w:r>
      <w:bookmarkStart w:id="13" w:name="Bookmark__5_b_ii_b"/>
      <w:bookmarkEnd w:id="13"/>
      <w:r>
        <w:rPr>
          <w:rFonts w:ascii="times" w:eastAsia="times" w:hAnsi="times" w:cs="times"/>
          <w:b w:val="0"/>
          <w:i w:val="0"/>
          <w:strike w:val="0"/>
          <w:noProof w:val="0"/>
          <w:color w:val="000000"/>
          <w:position w:val="0"/>
          <w:sz w:val="24"/>
          <w:u w:val="none"/>
          <w:vertAlign w:val="baseline"/>
        </w:rPr>
        <w:t>illegal activity; or</w:t>
      </w:r>
    </w:p>
    <w:p>
      <w:pPr>
        <w:keepNext w:val="0"/>
        <w:spacing w:before="120" w:after="0" w:line="300" w:lineRule="atLeast"/>
        <w:ind w:left="1800" w:right="0"/>
        <w:jc w:val="left"/>
      </w:pPr>
      <w:r>
        <w:rPr>
          <w:b/>
        </w:rPr>
        <w:t xml:space="preserve">(C)  </w:t>
      </w:r>
      <w:bookmarkStart w:id="14" w:name="Bookmark__5_b_ii_c"/>
      <w:bookmarkEnd w:id="14"/>
      <w:r>
        <w:rPr>
          <w:rFonts w:ascii="times" w:eastAsia="times" w:hAnsi="times" w:cs="times"/>
          <w:b w:val="0"/>
          <w:i w:val="0"/>
          <w:strike w:val="0"/>
          <w:noProof w:val="0"/>
          <w:color w:val="000000"/>
          <w:position w:val="0"/>
          <w:sz w:val="24"/>
          <w:u w:val="none"/>
          <w:vertAlign w:val="baseline"/>
        </w:rPr>
        <w:t>infringement of intellectual property rights.</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111, § 108, effective May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76-6-703.5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76-6-703.5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32</vt:lpwstr>
  </property>
  <property fmtid="{D5CDD505-2E9C-101B-9397-08002B2CF9AE}" pid="3" name="LADocCount">
    <vt:lpwstr>1</vt:lpwstr>
  </property>
  <property fmtid="{D5CDD505-2E9C-101B-9397-08002B2CF9AE}" pid="4" name="LADocumentID:32">
    <vt:lpwstr>Doc::urn:hlct:15|contextualFeaturePermID::1519360</vt:lpwstr>
  </property>
  <property fmtid="{D5CDD505-2E9C-101B-9397-08002B2CF9AE}" pid="5" name="UserPermID">
    <vt:lpwstr>urn:user:PA186163333</vt:lpwstr>
  </property>
</Properties>
</file>