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63A-16-1103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16 Utah Technology Governance Act (Pts. 1 — 11)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11 Utah Cyber Center (§§ 63A-16-1101 — 63A-16-1102)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63A-16-1103. Reporting to the Cyber Center — Assistance to governmental entities — Records.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spacing w:before="120" w:line="240" w:lineRule="atLeast"/>
        <w:ind w:left="1080"/>
      </w:pPr>
      <w:r>
        <w:rPr>
          <w:b/>
        </w:rPr>
        <w:t xml:space="preserve">(1)  </w:t>
      </w:r>
      <w:bookmarkStart w:id="1" w:name="Bookmark__1"/>
      <w:bookmarkEnd w:id="1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" w:name="Bookmark__1_a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governmental entity shall notify the Cyber Center as soon as practicable when the governmental entity becomes aware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3" w:name="Bookmark__1_b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When a governmental entity notifies the Cyber Center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under Subsection (1)(a), the governmental entity shall include the following information: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4" w:name="Bookmark__1_b_i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date and time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occurred;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5" w:name="Bookmark__1_b_i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date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was discovered;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(iii)  </w:t>
      </w:r>
      <w:bookmarkStart w:id="6" w:name="Bookmark__1_b_iii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total number of people affected by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including the total number of Utah residents affected;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(iv)  </w:t>
      </w:r>
      <w:bookmarkStart w:id="7" w:name="Bookmark__1_b_iv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type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(v)  </w:t>
      </w:r>
      <w:bookmarkStart w:id="8" w:name="Bookmark__1_b_v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 short description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that occurred;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(vi)  </w:t>
      </w:r>
      <w:bookmarkStart w:id="9" w:name="Bookmark__1_b_vi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path or means by which access was gained to the system, computer, or network, if known;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(vii)  </w:t>
      </w:r>
      <w:bookmarkStart w:id="10" w:name="Bookmark__1_b_v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individual or entity who perpetrated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if known;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(viii)  </w:t>
      </w:r>
      <w:bookmarkStart w:id="11" w:name="Bookmark__1_b_viii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steps the governmental entity is taking or has taken to mitigate the impact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(ix)  </w:t>
      </w:r>
      <w:bookmarkStart w:id="12" w:name="Bookmark__1_b_ix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any other details requested by the Cyber Center.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13" w:name="Bookmark__2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Cyber Center shall provide the governmental entity with assistance in responding 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, which may include: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14" w:name="Bookmark__2_a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conducting all or part of an internal investigation into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15" w:name="Bookmark__2_b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assisting law enforcement with the law enforcement investigation if needed;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(c)  </w:t>
      </w:r>
      <w:bookmarkStart w:id="16" w:name="Bookmark__2_c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determining the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(d)  </w:t>
      </w:r>
      <w:bookmarkStart w:id="17" w:name="Bookmark__2_d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assisting the governmental entity in restoring the reasonable integrity of the system; or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(e)  </w:t>
      </w:r>
      <w:bookmarkStart w:id="18" w:name="Bookmark__2_e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providing any other assistance in response to the reported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.</w:t>
      </w:r>
    </w:p>
    <w:p>
      <w:pPr>
        <w:spacing w:before="120" w:line="240" w:lineRule="atLeast"/>
        <w:ind w:left="1080"/>
      </w:pPr>
      <w:r>
        <w:rPr>
          <w:b/>
        </w:rPr>
        <w:t xml:space="preserve">(3)  </w:t>
      </w:r>
      <w:bookmarkStart w:id="19" w:name="Bookmark__3"/>
      <w:bookmarkEnd w:id="19"/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(a)  </w:t>
      </w:r>
      <w:bookmarkStart w:id="20" w:name="Bookmark__3_a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 governmental entity that is required to submit information under Section 63a-16-1103 shall provide records to the Cyber Center as a shared record in accordance with Section 63G-2-206.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(b)  </w:t>
      </w:r>
      <w:bookmarkStart w:id="21" w:name="Bookmark__3_b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following information may be deemed confidential and may only be shared as provided in Subsection 63G-2-206: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(i)  </w:t>
      </w:r>
      <w:bookmarkStart w:id="22" w:name="Bookmark__3_b_i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information provided to the Cyber Center by a governmental entity under Subsections (1)(b)(vi) through (ix);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(ii)  </w:t>
      </w:r>
      <w:bookmarkStart w:id="23" w:name="Bookmark__3_b_ii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information produced by the Cyber Center in response to a report of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under Subsection (2).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4" w:name="History"/>
      <w:bookmarkEnd w:id="24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2023 ch. 496, § 4, effective May 3, 2023; renumbered from Utah Code Ann. § 63A-16-511 by 2024 ch. 426, § 4,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63A-16-1103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63A-16-1103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