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 V.S.A. § 3306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 Executive  (Pts.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Executive Reorganization (Chs. 41 — 72)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56. Agency of Digital Services (§§ 3301 — 3306)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3306. Technology Modernization Special Fund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Creation.   </w:t>
      </w:r>
      <w:bookmarkStart w:id="1" w:name="Bookmark__a"/>
      <w:bookmarkEnd w:id="1"/>
      <w:r>
        <w:rPr>
          <w:rFonts w:ascii="times" w:eastAsia="times" w:hAnsi="times" w:cs="times"/>
          <w:b w:val="0"/>
          <w:i w:val="0"/>
          <w:strike w:val="0"/>
          <w:noProof w:val="0"/>
          <w:color w:val="000000"/>
          <w:position w:val="0"/>
          <w:sz w:val="24"/>
          <w:u w:val="none"/>
          <w:vertAlign w:val="baseline"/>
        </w:rPr>
        <w:t xml:space="preserve">Creation. There is created the Technology Modernization Special Fund, to be administered by the Agency of Digital Services. Monies in the Fund shall be used to fund business process transformation and to purchase, implement, and upgrade technology platforms, systems,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used by State agencies and departments to carry out their statutory functions.</w:t>
      </w:r>
    </w:p>
    <w:p>
      <w:pPr>
        <w:keepNext w:val="0"/>
        <w:spacing w:before="120" w:after="0" w:line="300" w:lineRule="atLeast"/>
        <w:ind w:left="720" w:right="0"/>
        <w:jc w:val="left"/>
      </w:pPr>
      <w:r>
        <w:rPr>
          <w:b/>
        </w:rPr>
        <w:t xml:space="preserve">(b) Funds.   </w:t>
      </w:r>
      <w:bookmarkStart w:id="2" w:name="Bookmark__b"/>
      <w:bookmarkEnd w:id="2"/>
      <w:r>
        <w:rPr>
          <w:rFonts w:ascii="times" w:eastAsia="times" w:hAnsi="times" w:cs="times"/>
          <w:b w:val="0"/>
          <w:i w:val="0"/>
          <w:strike w:val="0"/>
          <w:noProof w:val="0"/>
          <w:color w:val="000000"/>
          <w:position w:val="0"/>
          <w:sz w:val="24"/>
          <w:u w:val="none"/>
          <w:vertAlign w:val="baseline"/>
        </w:rPr>
        <w:t>The Fund shall consist of:</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any amounts transferred or appropriated to it by the General Assembly; and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any interest earned by the Fund.</w:t>
      </w:r>
    </w:p>
    <w:p>
      <w:pPr>
        <w:keepNext w:val="0"/>
        <w:spacing w:before="120" w:after="0" w:line="300" w:lineRule="atLeast"/>
        <w:ind w:left="720" w:right="0"/>
        <w:jc w:val="left"/>
      </w:pPr>
      <w:r>
        <w:rPr>
          <w:b/>
        </w:rPr>
        <w:t xml:space="preserve">(c) Fund balance.   </w:t>
      </w:r>
      <w:bookmarkStart w:id="5" w:name="Bookmark__c"/>
      <w:bookmarkEnd w:id="5"/>
      <w:r>
        <w:rPr>
          <w:rFonts w:ascii="times" w:eastAsia="times" w:hAnsi="times" w:cs="times"/>
          <w:b w:val="0"/>
          <w:i w:val="0"/>
          <w:strike w:val="0"/>
          <w:noProof w:val="0"/>
          <w:color w:val="000000"/>
          <w:position w:val="0"/>
          <w:sz w:val="24"/>
          <w:u w:val="none"/>
          <w:vertAlign w:val="baseline"/>
        </w:rPr>
        <w:t>Any balance remaining at the end of the fiscal year shall remain in the Fund.</w:t>
      </w:r>
    </w:p>
    <w:p>
      <w:pPr>
        <w:keepNext w:val="0"/>
        <w:spacing w:before="120" w:after="0" w:line="300" w:lineRule="atLeast"/>
        <w:ind w:left="720" w:right="0"/>
        <w:jc w:val="left"/>
      </w:pPr>
      <w:r>
        <w:rPr>
          <w:b/>
        </w:rPr>
        <w:t xml:space="preserve">(d) Receipts.   </w:t>
      </w:r>
      <w:bookmarkStart w:id="6" w:name="Bookmark__d"/>
      <w:bookmarkEnd w:id="6"/>
      <w:r>
        <w:rPr>
          <w:rFonts w:ascii="times" w:eastAsia="times" w:hAnsi="times" w:cs="times"/>
          <w:b w:val="0"/>
          <w:i w:val="0"/>
          <w:strike w:val="0"/>
          <w:noProof w:val="0"/>
          <w:color w:val="000000"/>
          <w:position w:val="0"/>
          <w:sz w:val="24"/>
          <w:u w:val="none"/>
          <w:vertAlign w:val="baseline"/>
        </w:rPr>
        <w:t>The Commissioner of Finance and Management may anticipate receipts to this Fund and issue warrants based thereon.</w:t>
      </w:r>
    </w:p>
    <w:p>
      <w:pPr>
        <w:keepNext w:val="0"/>
        <w:spacing w:before="120" w:after="0" w:line="300" w:lineRule="atLeast"/>
        <w:ind w:left="720" w:right="0"/>
        <w:jc w:val="left"/>
      </w:pPr>
      <w:r>
        <w:rPr>
          <w:b/>
        </w:rPr>
        <w:t xml:space="preserve">(e) Priorities.   </w:t>
      </w:r>
      <w:bookmarkStart w:id="7" w:name="Bookmark__e"/>
      <w:bookmarkEnd w:id="7"/>
      <w:r>
        <w:rPr>
          <w:rFonts w:ascii="times" w:eastAsia="times" w:hAnsi="times" w:cs="times"/>
          <w:b w:val="0"/>
          <w:i w:val="0"/>
          <w:strike w:val="0"/>
          <w:noProof w:val="0"/>
          <w:color w:val="000000"/>
          <w:position w:val="0"/>
          <w:sz w:val="24"/>
          <w:u w:val="none"/>
          <w:vertAlign w:val="baseline"/>
        </w:rPr>
        <w:t>The General Assembly shall prioritize projects to receive monies from the Fund based on recommendations from the Chief Information Officer submitted pursuant to subsection 3303(a) of this title. Expenditures shall only be made from the fund through appropriation and project authorization by the General Assembly. Plans for use shall be submitted as part of the budget adjustment or budget process.</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2021, No. 185 (Adj. Sess.), § E.105.1, eff. June 9, 2022; amended 2023, No. 87 (Adj. Sess.), § 58, eff. March 13,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 V.S.A. § 3306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V.S.A. § 3306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