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38.2-623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38.2. Insurance. (Chs. 1 — 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Insurance Information and Privacy Protection.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Insurance Data Security Act. (§§ 38.2-621 — 38.2-629)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38.2-623.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Commensurate with the size and complexity of the licensee; the nature and scope of the licensee’s activities, including its use of third-party service providers; and the sensitivity of the nonpublic information used by the licensee or in the licensee’s possession, custody, or control, each licensee shall develop, implement, and maintain a comprehensive written information security program based on the licensee’s assessment of the licensee’s risk and that contains administrative, technical, and physical safeguards for the protection of nonpublic information and the licensee’s information system.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Each licensee’s information security program shall be designed to:</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Protect against any reasonably foreseeable threats or hazards to the security or integrity of nonpublic information and the information system;</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 and</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Each licensee shall:</w:t>
      </w:r>
    </w:p>
    <w:p>
      <w:pPr>
        <w:keepNext w:val="0"/>
        <w:spacing w:before="120" w:after="0" w:line="300" w:lineRule="atLeast"/>
        <w:ind w:left="1080" w:right="0"/>
        <w:jc w:val="left"/>
      </w:pPr>
      <w:r>
        <w:rPr>
          <w:b/>
        </w:rPr>
        <w:t xml:space="preserve">1.  </w:t>
      </w:r>
      <w:bookmarkStart w:id="8" w:name="Bookmark__c_1"/>
      <w:bookmarkEnd w:id="8"/>
      <w:r>
        <w:rPr>
          <w:rFonts w:ascii="times" w:eastAsia="times" w:hAnsi="times" w:cs="times"/>
          <w:b w:val="0"/>
          <w:i w:val="0"/>
          <w:strike w:val="0"/>
          <w:noProof w:val="0"/>
          <w:color w:val="000000"/>
          <w:position w:val="0"/>
          <w:sz w:val="24"/>
          <w:u w:val="none"/>
          <w:vertAlign w:val="baseline"/>
        </w:rPr>
        <w:t>Designate one or more employees, an affiliate, or an outside vendor designated to act on behalf of the licensee who is responsible for the information security program;</w:t>
      </w:r>
    </w:p>
    <w:p>
      <w:pPr>
        <w:keepNext w:val="0"/>
        <w:spacing w:before="120" w:after="0" w:line="300" w:lineRule="atLeast"/>
        <w:ind w:left="1080" w:right="0"/>
        <w:jc w:val="left"/>
      </w:pPr>
      <w:r>
        <w:rPr>
          <w:b/>
        </w:rPr>
        <w:t xml:space="preserve">2.  </w:t>
      </w:r>
      <w:bookmarkStart w:id="9" w:name="Bookmark__c_2"/>
      <w:bookmarkEnd w:id="9"/>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licensee; the nature and scope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3.  </w:t>
      </w:r>
      <w:bookmarkStart w:id="10" w:name="Bookmark__c_3"/>
      <w:bookmarkEnd w:id="10"/>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persons to protect against the unauthorized acquisition of nonpublic information;</w:t>
      </w:r>
    </w:p>
    <w:p>
      <w:pPr>
        <w:keepNext w:val="0"/>
        <w:spacing w:before="120" w:after="0" w:line="300" w:lineRule="atLeast"/>
        <w:ind w:left="1080" w:right="0"/>
        <w:jc w:val="left"/>
      </w:pPr>
      <w:r>
        <w:rPr>
          <w:b/>
        </w:rPr>
        <w:t xml:space="preserve">4.  </w:t>
      </w:r>
      <w:bookmarkStart w:id="11" w:name="Bookmark__c_4"/>
      <w:bookmarkEnd w:id="11"/>
      <w:r>
        <w:rPr>
          <w:rFonts w:ascii="times" w:eastAsia="times" w:hAnsi="times" w:cs="times"/>
          <w:b w:val="0"/>
          <w:i w:val="0"/>
          <w:strike w:val="0"/>
          <w:noProof w:val="0"/>
          <w:color w:val="000000"/>
          <w:position w:val="0"/>
          <w:sz w:val="24"/>
          <w:u w:val="none"/>
          <w:vertAlign w:val="baseline"/>
        </w:rPr>
        <w:t>At physical locations containing nonpublic information, restrict access to nonpublic information to authorized persons only;</w:t>
      </w:r>
    </w:p>
    <w:p>
      <w:pPr>
        <w:keepNext w:val="0"/>
        <w:spacing w:before="120" w:after="0" w:line="300" w:lineRule="atLeast"/>
        <w:ind w:left="1080" w:right="0"/>
        <w:jc w:val="left"/>
      </w:pPr>
      <w:r>
        <w:rPr>
          <w:b/>
        </w:rPr>
        <w:t xml:space="preserve">5.  </w:t>
      </w:r>
      <w:bookmarkStart w:id="12" w:name="Bookmark__c_5"/>
      <w:bookmarkEnd w:id="12"/>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or other catastrophes or technological failures;</w:t>
      </w:r>
    </w:p>
    <w:p>
      <w:pPr>
        <w:keepNext w:val="0"/>
        <w:spacing w:before="120" w:after="0" w:line="300" w:lineRule="atLeast"/>
        <w:ind w:left="1080" w:right="0"/>
        <w:jc w:val="left"/>
      </w:pPr>
      <w:r>
        <w:rPr>
          <w:b/>
        </w:rPr>
        <w:t xml:space="preserve">6.  </w:t>
      </w:r>
      <w:bookmarkStart w:id="13" w:name="Bookmark__c_6"/>
      <w:bookmarkEnd w:id="13"/>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7.  </w:t>
      </w:r>
      <w:bookmarkStart w:id="14" w:name="Bookmark__c_7"/>
      <w:bookmarkEnd w:id="14"/>
      <w:r>
        <w:rPr>
          <w:rFonts w:ascii="times" w:eastAsia="times" w:hAnsi="times" w:cs="times"/>
          <w:b w:val="0"/>
          <w:i w:val="0"/>
          <w:strike w:val="0"/>
          <w:noProof w:val="0"/>
          <w:color w:val="000000"/>
          <w:position w:val="0"/>
          <w:sz w:val="24"/>
          <w:u w:val="none"/>
          <w:vertAlign w:val="baseline"/>
        </w:rPr>
        <w:t>Stay informed regarding emerging threats or vulnerabilities and utilize reasonable security measures when sharing information relative to the character of the sharing and the type of information shared; and</w:t>
      </w:r>
    </w:p>
    <w:p>
      <w:pPr>
        <w:keepNext w:val="0"/>
        <w:spacing w:before="120" w:after="0" w:line="300" w:lineRule="atLeast"/>
        <w:ind w:left="1080" w:right="0"/>
        <w:jc w:val="left"/>
      </w:pPr>
      <w:r>
        <w:rPr>
          <w:b/>
        </w:rPr>
        <w:t xml:space="preserve">8.  </w:t>
      </w:r>
      <w:bookmarkStart w:id="15" w:name="Bookmark__c_8"/>
      <w:bookmarkEnd w:id="15"/>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w:t>
      </w:r>
    </w:p>
    <w:p>
      <w:pPr>
        <w:spacing w:before="120" w:line="240" w:lineRule="atLeast"/>
        <w:ind w:left="720"/>
      </w:pPr>
      <w:r>
        <w:rPr>
          <w:b/>
        </w:rPr>
        <w:t xml:space="preserve">D.  </w:t>
      </w:r>
      <w:bookmarkStart w:id="16" w:name="Bookmark__d"/>
      <w:bookmarkEnd w:id="16"/>
    </w:p>
    <w:p>
      <w:pPr>
        <w:keepNext w:val="0"/>
        <w:spacing w:before="120" w:after="0" w:line="300" w:lineRule="atLeast"/>
        <w:ind w:left="1080" w:right="0"/>
        <w:jc w:val="left"/>
      </w:pPr>
      <w:r>
        <w:rPr>
          <w:b/>
        </w:rPr>
        <w:t xml:space="preserve">1.  </w:t>
      </w:r>
      <w:bookmarkStart w:id="17" w:name="Bookmark__d_1"/>
      <w:bookmarkEnd w:id="17"/>
      <w:r>
        <w:rPr>
          <w:rFonts w:ascii="times" w:eastAsia="times" w:hAnsi="times" w:cs="times"/>
          <w:b w:val="0"/>
          <w:i w:val="0"/>
          <w:strike w:val="0"/>
          <w:noProof w:val="0"/>
          <w:color w:val="000000"/>
          <w:position w:val="0"/>
          <w:sz w:val="24"/>
          <w:u w:val="none"/>
          <w:vertAlign w:val="baseline"/>
        </w:rPr>
        <w:t xml:space="preserve">If a licensee has a board of directors, the board or an appropriate committee of the board shall, at a minimum, require the licensee’s information executive management or its delegates to (i) develop, implement, and maintain the licensee’s information security program and (ii) report in writing (a) the overall status of the information security program and the licensee’s compliance with this article and (b) 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information security program.</w:t>
      </w:r>
    </w:p>
    <w:p>
      <w:pPr>
        <w:keepNext w:val="0"/>
        <w:spacing w:before="120" w:after="0" w:line="300" w:lineRule="atLeast"/>
        <w:ind w:left="1080" w:right="0"/>
        <w:jc w:val="left"/>
      </w:pPr>
      <w:r>
        <w:rPr>
          <w:b/>
        </w:rPr>
        <w:t xml:space="preserve">2.  </w:t>
      </w:r>
      <w:bookmarkStart w:id="18" w:name="Bookmark__d_2"/>
      <w:bookmarkEnd w:id="18"/>
      <w:r>
        <w:rPr>
          <w:rFonts w:ascii="times" w:eastAsia="times" w:hAnsi="times" w:cs="times"/>
          <w:b w:val="0"/>
          <w:i w:val="0"/>
          <w:strike w:val="0"/>
          <w:noProof w:val="0"/>
          <w:color w:val="000000"/>
          <w:position w:val="0"/>
          <w:sz w:val="24"/>
          <w:u w:val="none"/>
          <w:vertAlign w:val="baseline"/>
        </w:rPr>
        <w:t>If executive management delegates any of its responsibilities under this section, it shall oversee the development, implementation, and maintenance of the licensee’s information security program prepared by the delegate and shall receive a report from the delegate complying with the requirements of subdivision 1.</w:t>
      </w:r>
    </w:p>
    <w:p>
      <w:pPr>
        <w:keepNext w:val="0"/>
        <w:spacing w:before="120" w:after="0" w:line="300" w:lineRule="atLeast"/>
        <w:ind w:left="720" w:right="0"/>
        <w:jc w:val="left"/>
      </w:pPr>
      <w:r>
        <w:rPr>
          <w:b/>
        </w:rPr>
        <w:t xml:space="preserve">E.  </w:t>
      </w:r>
      <w:bookmarkStart w:id="19" w:name="Bookmark__e"/>
      <w:bookmarkEnd w:id="19"/>
      <w:r>
        <w:rPr>
          <w:rFonts w:ascii="times" w:eastAsia="times" w:hAnsi="times" w:cs="times"/>
          <w:b w:val="0"/>
          <w:i w:val="0"/>
          <w:strike w:val="0"/>
          <w:noProof w:val="0"/>
          <w:color w:val="000000"/>
          <w:position w:val="0"/>
          <w:sz w:val="24"/>
          <w:u w:val="none"/>
          <w:vertAlign w:val="baseline"/>
        </w:rPr>
        <w:t>Beginning July 1, 2022, if a licensee utilizes a third-party service provider, the licensee shall:</w:t>
      </w:r>
    </w:p>
    <w:p>
      <w:pPr>
        <w:keepNext w:val="0"/>
        <w:spacing w:before="120" w:after="0" w:line="300" w:lineRule="atLeast"/>
        <w:ind w:left="1080" w:right="0"/>
        <w:jc w:val="left"/>
      </w:pPr>
      <w:r>
        <w:rPr>
          <w:b/>
        </w:rPr>
        <w:t xml:space="preserve">1.  </w:t>
      </w:r>
      <w:bookmarkStart w:id="20" w:name="Bookmark__e_1"/>
      <w:bookmarkEnd w:id="20"/>
      <w:r>
        <w:rPr>
          <w:rFonts w:ascii="times" w:eastAsia="times" w:hAnsi="times" w:cs="times"/>
          <w:b w:val="0"/>
          <w:i w:val="0"/>
          <w:strike w:val="0"/>
          <w:noProof w:val="0"/>
          <w:color w:val="000000"/>
          <w:position w:val="0"/>
          <w:sz w:val="24"/>
          <w:u w:val="none"/>
          <w:vertAlign w:val="baseline"/>
        </w:rPr>
        <w:t>Exercise due diligence in selecting its third-party service provider; and</w:t>
      </w:r>
    </w:p>
    <w:p>
      <w:pPr>
        <w:keepNext w:val="0"/>
        <w:spacing w:before="120" w:after="0" w:line="300" w:lineRule="atLeast"/>
        <w:ind w:left="1080" w:right="0"/>
        <w:jc w:val="left"/>
      </w:pPr>
      <w:r>
        <w:rPr>
          <w:b/>
        </w:rPr>
        <w:t xml:space="preserve">2.  </w:t>
      </w:r>
      <w:bookmarkStart w:id="21" w:name="Bookmark__e_2"/>
      <w:bookmarkEnd w:id="21"/>
      <w:r>
        <w:rPr>
          <w:rFonts w:ascii="times" w:eastAsia="times" w:hAnsi="times" w:cs="times"/>
          <w:b w:val="0"/>
          <w:i w:val="0"/>
          <w:strike w:val="0"/>
          <w:noProof w:val="0"/>
          <w:color w:val="000000"/>
          <w:position w:val="0"/>
          <w:sz w:val="24"/>
          <w:u w:val="none"/>
          <w:vertAlign w:val="baseline"/>
        </w:rPr>
        <w:t>Require a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F.  </w:t>
      </w:r>
      <w:bookmarkStart w:id="22" w:name="Bookmark__f"/>
      <w:bookmarkEnd w:id="22"/>
      <w:r>
        <w:rPr>
          <w:rFonts w:ascii="times" w:eastAsia="times" w:hAnsi="times" w:cs="times"/>
          <w:b w:val="0"/>
          <w:i w:val="0"/>
          <w:strike w:val="0"/>
          <w:noProof w:val="0"/>
          <w:color w:val="000000"/>
          <w:position w:val="0"/>
          <w:sz w:val="24"/>
          <w:u w:val="none"/>
          <w:vertAlign w:val="baseline"/>
        </w:rPr>
        <w:t>Each licensee shall monitor, evaluate, and adjust, as appropriate, the information security program consistent with any relevant changes in technology, the sensitivity of its nonpublic information, internal or external threats to information, and the licensee’s own changing business arrangements, such as mergers and acquisitions, alliances and joint ventures, outsourcing arrangements, and changes to information systems.</w:t>
      </w:r>
    </w:p>
    <w:p>
      <w:pPr>
        <w:keepNext w:val="0"/>
        <w:spacing w:before="120" w:after="0" w:line="300" w:lineRule="atLeast"/>
        <w:ind w:left="720" w:right="0"/>
        <w:jc w:val="left"/>
      </w:pPr>
      <w:r>
        <w:rPr>
          <w:b/>
        </w:rPr>
        <w:t xml:space="preserve">G.  </w:t>
      </w:r>
      <w:bookmarkStart w:id="23" w:name="Bookmark__g"/>
      <w:bookmarkEnd w:id="23"/>
      <w:r>
        <w:rPr>
          <w:rFonts w:ascii="times" w:eastAsia="times" w:hAnsi="times" w:cs="times"/>
          <w:b w:val="0"/>
          <w:i w:val="0"/>
          <w:strike w:val="0"/>
          <w:noProof w:val="0"/>
          <w:color w:val="000000"/>
          <w:position w:val="0"/>
          <w:sz w:val="24"/>
          <w:u w:val="none"/>
          <w:vertAlign w:val="baseline"/>
        </w:rPr>
        <w:t xml:space="preserve">As part of its information security program, each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 Such incident response plan shall address:</w:t>
      </w:r>
    </w:p>
    <w:p>
      <w:pPr>
        <w:keepNext w:val="0"/>
        <w:spacing w:before="120" w:after="0" w:line="300" w:lineRule="atLeast"/>
        <w:ind w:left="1080" w:right="0"/>
        <w:jc w:val="left"/>
      </w:pPr>
      <w:r>
        <w:rPr>
          <w:b/>
        </w:rPr>
        <w:t xml:space="preserve">1.  </w:t>
      </w:r>
      <w:bookmarkStart w:id="24" w:name="Bookmark__g_1"/>
      <w:bookmarkEnd w:id="24"/>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25" w:name="Bookmark__g_2"/>
      <w:bookmarkEnd w:id="25"/>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080" w:right="0"/>
        <w:jc w:val="left"/>
      </w:pPr>
      <w:r>
        <w:rPr>
          <w:b/>
        </w:rPr>
        <w:t xml:space="preserve">3.  </w:t>
      </w:r>
      <w:bookmarkStart w:id="26" w:name="Bookmark__g_3"/>
      <w:bookmarkEnd w:id="26"/>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080" w:right="0"/>
        <w:jc w:val="left"/>
      </w:pPr>
      <w:r>
        <w:rPr>
          <w:b/>
        </w:rPr>
        <w:t xml:space="preserve">4.  </w:t>
      </w:r>
      <w:bookmarkStart w:id="27" w:name="Bookmark__g_4"/>
      <w:bookmarkEnd w:id="27"/>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080" w:right="0"/>
        <w:jc w:val="left"/>
      </w:pPr>
      <w:r>
        <w:rPr>
          <w:b/>
        </w:rPr>
        <w:t xml:space="preserve">5.  </w:t>
      </w:r>
      <w:bookmarkStart w:id="28" w:name="Bookmark__g_5"/>
      <w:bookmarkEnd w:id="28"/>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080" w:right="0"/>
        <w:jc w:val="left"/>
      </w:pPr>
      <w:r>
        <w:rPr>
          <w:b/>
        </w:rPr>
        <w:t xml:space="preserve">6.  </w:t>
      </w:r>
      <w:bookmarkStart w:id="29" w:name="Bookmark__g_6"/>
      <w:bookmarkEnd w:id="29"/>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080" w:right="0"/>
        <w:jc w:val="left"/>
      </w:pPr>
      <w:r>
        <w:rPr>
          <w:b/>
        </w:rPr>
        <w:t xml:space="preserve">7.  </w:t>
      </w:r>
      <w:bookmarkStart w:id="30" w:name="Bookmark__g_7"/>
      <w:bookmarkEnd w:id="30"/>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H.  </w:t>
      </w:r>
      <w:bookmarkStart w:id="31" w:name="Bookmark__h"/>
      <w:bookmarkEnd w:id="31"/>
      <w:r>
        <w:rPr>
          <w:rFonts w:ascii="times" w:eastAsia="times" w:hAnsi="times" w:cs="times"/>
          <w:b w:val="0"/>
          <w:i w:val="0"/>
          <w:strike w:val="0"/>
          <w:noProof w:val="0"/>
          <w:color w:val="000000"/>
          <w:position w:val="0"/>
          <w:sz w:val="24"/>
          <w:u w:val="none"/>
          <w:vertAlign w:val="baseline"/>
        </w:rPr>
        <w:t>Beginning in 2023 and annually thereafter, each insurer domiciled in the Commonwealth shall, by February 15, submit to the Commissioner a written statement certifying that the insurer is in compliance with the requirements set forth in this section, any rules adopted pursuant to this article, and any requirements prescribed by the Commission. Each insurer shall maintain for examination by the Bureau all records, schedules, and data supporting this certificate for a period of five years. To the extent an insurer has identified areas, systems, or processes that require material improvement, updating, or redesign, the insurer shall document the identification and the remedial efforts planned and underway to address such areas, systems, or processes. Such documentation must be available for inspection by the Commissioner.</w:t>
      </w:r>
    </w:p>
    <w:p>
      <w:pPr>
        <w:keepNext/>
        <w:spacing w:before="240" w:after="0" w:line="340" w:lineRule="atLeast"/>
        <w:ind w:left="0" w:right="0" w:firstLine="0"/>
        <w:jc w:val="left"/>
      </w:pPr>
      <w:bookmarkStart w:id="32" w:name="History"/>
      <w:bookmarkEnd w:id="3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 264.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38.2-623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38.2-623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