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59.1-336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59.1. Trade and Commerce. (Chs. 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Uniform Trade Secrets Act. (§§ 59.1-336 — 59.1-343)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59.1-336. Short title and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which may be cited as the Uniform Trade Secrets Act, unless the context requires otherwise: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“Improper means” </w:t>
      </w:r>
      <w:r>
        <w:rPr>
          <w:rFonts w:ascii="times" w:eastAsia="times" w:hAnsi="times" w:cs="times"/>
          <w:b w:val="0"/>
          <w:i w:val="0"/>
          <w:strike w:val="0"/>
          <w:noProof w:val="0"/>
          <w:color w:val="000000"/>
          <w:position w:val="0"/>
          <w:sz w:val="24"/>
          <w:u w:val="none"/>
          <w:vertAlign w:val="baseline"/>
        </w:rPr>
        <w:t>includes theft, bribery, misrepresentation, use of a computer or computer network without authority, breach of a duty or inducement of a breach of a duty to maintain secrecy, or espionage through electronic or other means.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“Misappropriation” </w:t>
      </w:r>
      <w:r>
        <w:rPr>
          <w:rFonts w:ascii="times" w:eastAsia="times" w:hAnsi="times" w:cs="times"/>
          <w:b w:val="0"/>
          <w:i w:val="0"/>
          <w:strike w:val="0"/>
          <w:noProof w:val="0"/>
          <w:color w:val="000000"/>
          <w:position w:val="0"/>
          <w:sz w:val="24"/>
          <w:u w:val="none"/>
          <w:vertAlign w:val="baseline"/>
        </w:rPr>
        <w:t>means: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w:t>
      </w:r>
    </w:p>
    <w:p>
      <w:pPr>
        <w:keepNext w:val="0"/>
        <w:spacing w:before="120" w:after="0" w:line="300" w:lineRule="atLeast"/>
        <w:ind w:left="1800" w:right="0"/>
        <w:jc w:val="left"/>
      </w:pPr>
      <w:r>
        <w:rPr>
          <w:b/>
        </w:rPr>
        <w:t xml:space="preserve">(3)  </w:t>
      </w:r>
      <w:bookmarkStart w:id="7" w:name="Bookmark__2_b_3"/>
      <w:bookmarkEnd w:id="7"/>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(4)  </w:t>
      </w:r>
      <w:bookmarkStart w:id="8" w:name="Bookmark__2_b_4"/>
      <w:bookmarkEnd w:id="8"/>
      <w:r>
        <w:rPr>
          <w:rFonts w:ascii="times" w:eastAsia="times" w:hAnsi="times" w:cs="times"/>
          <w:b w:val="0"/>
          <w:i w:val="0"/>
          <w:strike w:val="0"/>
          <w:noProof w:val="0"/>
          <w:color w:val="000000"/>
          <w:position w:val="0"/>
          <w:sz w:val="24"/>
          <w:u w:val="none"/>
          <w:vertAlign w:val="baseline"/>
        </w:rPr>
        <w:t>Acquired by accident or mistake.</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“Trade secret” </w:t>
      </w:r>
      <w:r>
        <w:rPr>
          <w:rFonts w:ascii="times" w:eastAsia="times" w:hAnsi="times" w:cs="times"/>
          <w:b w:val="0"/>
          <w:i w:val="0"/>
          <w:strike w:val="0"/>
          <w:noProof w:val="0"/>
          <w:color w:val="000000"/>
          <w:position w:val="0"/>
          <w:sz w:val="24"/>
          <w:u w:val="none"/>
          <w:vertAlign w:val="baseline"/>
        </w:rPr>
        <w:t>means information, including but not limited to, a formula, pattern, compilation, program, device, method, technique, or process, that:</w:t>
      </w:r>
    </w:p>
    <w:p>
      <w:pPr>
        <w:keepNext w:val="0"/>
        <w:spacing w:before="120" w:after="0" w:line="300" w:lineRule="atLeast"/>
        <w:ind w:left="1080" w:right="0"/>
        <w:jc w:val="left"/>
      </w:pPr>
      <w:r>
        <w:rPr>
          <w:b/>
        </w:rPr>
        <w:t xml:space="preserve">1.  </w:t>
      </w:r>
      <w:bookmarkStart w:id="9" w:name="Bookmark__1_seq2"/>
      <w:bookmarkEnd w:id="9"/>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080" w:right="0"/>
        <w:jc w:val="left"/>
      </w:pPr>
      <w:r>
        <w:rPr>
          <w:b/>
        </w:rPr>
        <w:t xml:space="preserve">2.  </w:t>
      </w:r>
      <w:bookmarkStart w:id="10" w:name="Bookmark__2_seq2"/>
      <w:bookmarkEnd w:id="10"/>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210; 2009, cc. 321, 376.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59.1-336. Short title and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59.1-336. Short title and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225738158</vt:lpwstr>
  </property>
  <property fmtid="{D5CDD505-2E9C-101B-9397-08002B2CF9AE}" pid="3" name="LADocCount">
    <vt:lpwstr>1</vt:lpwstr>
  </property>
  <property fmtid="{D5CDD505-2E9C-101B-9397-08002B2CF9AE}" pid="4" name="LADocumentID:urn:contentItem:63TX-H9N1-DYB7-W4M2-00000-00">
    <vt:lpwstr>Doc::/shared/document|contextualFeaturePermID::1519360</vt:lpwstr>
  </property>
  <property fmtid="{D5CDD505-2E9C-101B-9397-08002B2CF9AE}" pid="5" name="UserPermID">
    <vt:lpwstr>urn:user:PA186163333</vt:lpwstr>
  </property>
</Properties>
</file>