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63.30.870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 Personal Property (Chs. 63.10 — 63.60)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63.30 Revised Uniform Unclaimed Property Act (§§ 63.30.010 — 63.30.925)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63.30.870. Security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this chapter, the administrator or administrator’s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misuse, or unauthorized access, disclosure, modification, or destruction of confidential information obtained from the holder in the possession of the administrator or an administrator’s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which: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Compromises the security, confidentiality, or integrity of the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a substantial risk of identity fraud or theft.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6" w:name="Bookmark_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necessary to inform an insurer, attorney, investigator, or others as required by law, the administrator and an administrator’s agent may not disclose, without the express consent in a record of the holder, an event described in subsection (1) of this section to a person whose confidential information was supplied by the holder.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(1) of this section occurs, the administrator and the administrator’s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its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0" w:name="Bookmark__3_b_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1" w:name="Bookmark__3_b_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regulatory inquiry, litigation, or similar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 225, § 1407, effective January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63.30.870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63.30.870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