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FBD9" w14:textId="3AF49333" w:rsidR="000B4118" w:rsidRDefault="004D4106">
      <w:pPr>
        <w:rPr>
          <w:lang w:val="vi-VN"/>
        </w:rPr>
      </w:pPr>
      <w:r w:rsidRPr="004D4106">
        <w:drawing>
          <wp:inline distT="0" distB="0" distL="0" distR="0" wp14:anchorId="53BFDE3F" wp14:editId="1CCF5817">
            <wp:extent cx="3275045" cy="832056"/>
            <wp:effectExtent l="0" t="0" r="1905" b="6350"/>
            <wp:docPr id="156552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672" cy="8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9B6" w14:textId="05337E1E" w:rsidR="004D4106" w:rsidRDefault="004D4106" w:rsidP="004D410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4D4106">
        <w:rPr>
          <w:rFonts w:ascii="Times New Roman" w:hAnsi="Times New Roman" w:cs="Times New Roman"/>
          <w:b/>
          <w:bCs/>
          <w:color w:val="FF0000"/>
          <w:sz w:val="40"/>
          <w:szCs w:val="40"/>
        </w:rPr>
        <w:t>Stock Valuation</w:t>
      </w:r>
    </w:p>
    <w:p w14:paraId="464C012E" w14:textId="4D9CA0B9" w:rsidR="004D4106" w:rsidRDefault="00B73DE2" w:rsidP="00B73D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B73D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Dividend Discount Model (DDM)</w:t>
      </w:r>
    </w:p>
    <w:p w14:paraId="1B80EF0A" w14:textId="169510D7" w:rsidR="00B73DE2" w:rsidRDefault="00B73DE2" w:rsidP="00B73DE2">
      <w:pPr>
        <w:pStyle w:val="NormalWeb"/>
        <w:numPr>
          <w:ilvl w:val="0"/>
          <w:numId w:val="23"/>
        </w:numPr>
        <w:rPr>
          <w:lang w:val="vi-VN"/>
        </w:rPr>
      </w:pPr>
      <w:r w:rsidRPr="00B73DE2">
        <w:t xml:space="preserve">Values a stock as the </w:t>
      </w:r>
      <w:r w:rsidRPr="00B73DE2">
        <w:rPr>
          <w:rStyle w:val="Strong"/>
          <w:rFonts w:eastAsiaTheme="majorEastAsia"/>
        </w:rPr>
        <w:t>present value of all expected future dividends</w:t>
      </w:r>
      <w:r w:rsidRPr="00B73DE2">
        <w:t>.</w:t>
      </w:r>
      <w:r>
        <w:rPr>
          <w:lang w:val="vi-VN"/>
        </w:rPr>
        <w:br/>
      </w:r>
    </w:p>
    <w:p w14:paraId="7921E4F3" w14:textId="6FB3B5BC" w:rsidR="00B73DE2" w:rsidRPr="00B73DE2" w:rsidRDefault="00B73DE2" w:rsidP="00B73DE2">
      <w:pPr>
        <w:pStyle w:val="NormalWeb"/>
        <w:numPr>
          <w:ilvl w:val="0"/>
          <w:numId w:val="23"/>
        </w:numPr>
        <w:rPr>
          <w:lang w:val="vi-VN"/>
        </w:rPr>
      </w:pPr>
      <w:r w:rsidRPr="00B73DE2">
        <w:t xml:space="preserve">Useful when firm </w:t>
      </w:r>
      <w:r w:rsidRPr="00B73DE2">
        <w:rPr>
          <w:rStyle w:val="Strong"/>
          <w:rFonts w:eastAsiaTheme="majorEastAsia"/>
        </w:rPr>
        <w:t>pays regular dividends</w:t>
      </w:r>
      <w:r w:rsidRPr="00B73DE2">
        <w:t>.</w:t>
      </w:r>
      <w:r>
        <w:rPr>
          <w:lang w:val="vi-VN"/>
        </w:rPr>
        <w:br/>
      </w:r>
    </w:p>
    <w:p w14:paraId="781A6DE6" w14:textId="5C4FDEE3" w:rsidR="00B73DE2" w:rsidRDefault="00B73DE2" w:rsidP="00B73DE2">
      <w:pPr>
        <w:pStyle w:val="NormalWeb"/>
        <w:numPr>
          <w:ilvl w:val="0"/>
          <w:numId w:val="23"/>
        </w:numPr>
        <w:rPr>
          <w:lang w:val="vi-VN"/>
        </w:rPr>
      </w:pPr>
      <w:r w:rsidRPr="00B73DE2">
        <w:t xml:space="preserve">Assumes either </w:t>
      </w:r>
      <w:r w:rsidRPr="00B73DE2">
        <w:rPr>
          <w:rStyle w:val="Strong"/>
          <w:rFonts w:eastAsiaTheme="majorEastAsia"/>
        </w:rPr>
        <w:t>constant</w:t>
      </w:r>
      <w:r w:rsidRPr="00B73DE2">
        <w:t xml:space="preserve">, </w:t>
      </w:r>
      <w:r w:rsidRPr="00B73DE2">
        <w:rPr>
          <w:rStyle w:val="Strong"/>
          <w:rFonts w:eastAsiaTheme="majorEastAsia"/>
        </w:rPr>
        <w:t>zero-growth</w:t>
      </w:r>
      <w:r w:rsidRPr="00B73DE2">
        <w:t xml:space="preserve">, or </w:t>
      </w:r>
      <w:r w:rsidRPr="00B73DE2">
        <w:rPr>
          <w:rStyle w:val="Strong"/>
          <w:rFonts w:eastAsiaTheme="majorEastAsia"/>
        </w:rPr>
        <w:t>constant growth</w:t>
      </w:r>
      <w:r w:rsidRPr="00B73DE2">
        <w:t xml:space="preserve"> in dividends.</w:t>
      </w:r>
      <w:r>
        <w:rPr>
          <w:lang w:val="vi-VN"/>
        </w:rPr>
        <w:br/>
      </w:r>
    </w:p>
    <w:p w14:paraId="33970B9A" w14:textId="7D782638" w:rsidR="00B73DE2" w:rsidRDefault="00B73DE2" w:rsidP="00B73DE2">
      <w:pPr>
        <w:pStyle w:val="NormalWeb"/>
        <w:numPr>
          <w:ilvl w:val="0"/>
          <w:numId w:val="23"/>
        </w:numPr>
        <w:rPr>
          <w:lang w:val="vi-VN"/>
        </w:rPr>
      </w:pPr>
      <w:r>
        <w:rPr>
          <w:lang w:val="vi-VN"/>
        </w:rPr>
        <w:t xml:space="preserve">Formulas: </w:t>
      </w:r>
    </w:p>
    <w:p w14:paraId="097D0847" w14:textId="501AA3AD" w:rsidR="002527A9" w:rsidRPr="00126308" w:rsidRDefault="00B73DE2" w:rsidP="002527A9">
      <w:pPr>
        <w:pStyle w:val="NormalWeb"/>
        <w:ind w:left="720"/>
        <w:rPr>
          <w:b/>
          <w:bCs/>
          <w:color w:val="0F9ED5" w:themeColor="accent4"/>
          <w:lang w:val="vi-VN"/>
        </w:rPr>
      </w:pPr>
      <w:r w:rsidRPr="00126308">
        <w:rPr>
          <w:b/>
          <w:bCs/>
          <w:color w:val="0F9ED5" w:themeColor="accent4"/>
          <w:lang w:val="vi-VN"/>
        </w:rPr>
        <w:t xml:space="preserve">One – </w:t>
      </w:r>
      <w:r w:rsidR="008A0FEB" w:rsidRPr="00126308">
        <w:rPr>
          <w:b/>
          <w:bCs/>
          <w:color w:val="0F9ED5" w:themeColor="accent4"/>
          <w:lang w:val="vi-VN"/>
        </w:rPr>
        <w:t>period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0"/>
      </w:tblGrid>
      <w:tr w:rsidR="002527A9" w14:paraId="565CEEA1" w14:textId="77777777" w:rsidTr="002527A9">
        <w:trPr>
          <w:trHeight w:val="773"/>
        </w:trPr>
        <w:tc>
          <w:tcPr>
            <w:tcW w:w="2050" w:type="dxa"/>
          </w:tcPr>
          <w:p w14:paraId="55F5EB9E" w14:textId="36BCA9C3" w:rsidR="002527A9" w:rsidRPr="002527A9" w:rsidRDefault="002527A9" w:rsidP="008A0FEB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68598EF" w14:textId="52A97BE4" w:rsidR="002527A9" w:rsidRPr="00126308" w:rsidRDefault="002527A9" w:rsidP="002527A9">
      <w:pPr>
        <w:pStyle w:val="NormalWeb"/>
        <w:ind w:left="720"/>
        <w:rPr>
          <w:b/>
          <w:bCs/>
          <w:color w:val="0F9ED5" w:themeColor="accent4"/>
          <w:lang w:val="vi-VN"/>
        </w:rPr>
      </w:pPr>
      <w:r w:rsidRPr="00126308">
        <w:rPr>
          <w:b/>
          <w:bCs/>
          <w:color w:val="0F9ED5" w:themeColor="accent4"/>
          <w:lang w:val="vi-VN"/>
        </w:rPr>
        <w:t>Constant growth</w:t>
      </w:r>
      <w:r w:rsidR="00F1030A" w:rsidRPr="00126308">
        <w:rPr>
          <w:b/>
          <w:bCs/>
          <w:color w:val="0F9ED5" w:themeColor="accent4"/>
          <w:lang w:val="vi-VN"/>
        </w:rPr>
        <w:t xml:space="preserve"> (Gordon)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88"/>
      </w:tblGrid>
      <w:tr w:rsidR="002527A9" w14:paraId="69F5496D" w14:textId="77777777" w:rsidTr="002527A9">
        <w:trPr>
          <w:trHeight w:val="778"/>
        </w:trPr>
        <w:tc>
          <w:tcPr>
            <w:tcW w:w="2088" w:type="dxa"/>
          </w:tcPr>
          <w:p w14:paraId="2793BE39" w14:textId="4ACF0642" w:rsidR="002527A9" w:rsidRDefault="002527A9" w:rsidP="002527A9">
            <w:pPr>
              <w:pStyle w:val="NormalWeb"/>
              <w:ind w:firstLine="610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-g</m:t>
                    </m:r>
                  </m:den>
                </m:f>
              </m:oMath>
            </m:oMathPara>
          </w:p>
        </w:tc>
      </w:tr>
    </w:tbl>
    <w:p w14:paraId="620DFE0E" w14:textId="77777777" w:rsidR="00AD6025" w:rsidRPr="00AD6025" w:rsidRDefault="00AD6025" w:rsidP="00AD6025">
      <w:pPr>
        <w:pStyle w:val="NormalWeb"/>
      </w:pPr>
      <w:r w:rsidRPr="00AD6025">
        <w:t>Where:</w:t>
      </w:r>
    </w:p>
    <w:p w14:paraId="4DD84750" w14:textId="5CFF21D9" w:rsidR="00AD6025" w:rsidRPr="00AD6025" w:rsidRDefault="00AD6025" w:rsidP="00AD6025">
      <w:pPr>
        <w:pStyle w:val="NormalWeb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 w:rsidRPr="00AD6025">
        <w:t>: Price today</w:t>
      </w:r>
    </w:p>
    <w:p w14:paraId="7D3494EF" w14:textId="4198B711" w:rsidR="00AD6025" w:rsidRPr="00AD6025" w:rsidRDefault="00AD6025" w:rsidP="00AD6025">
      <w:pPr>
        <w:pStyle w:val="NormalWeb"/>
        <w:numPr>
          <w:ilvl w:val="0"/>
          <w:numId w:val="24"/>
        </w:numPr>
      </w:pPr>
      <w:r w:rsidRPr="00AD6025">
        <w:t>​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Div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</m:oMath>
      <w:r w:rsidRPr="00AD6025">
        <w:t>: Dividend next year</w:t>
      </w:r>
    </w:p>
    <w:p w14:paraId="6542A2F6" w14:textId="78A9F7C1" w:rsidR="00AD6025" w:rsidRPr="00AD6025" w:rsidRDefault="00AD6025" w:rsidP="00AD6025">
      <w:pPr>
        <w:pStyle w:val="NormalWeb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lang w:val="vi-VN"/>
              </w:rPr>
              <m:t>E</m:t>
            </m:r>
          </m:sub>
        </m:sSub>
      </m:oMath>
      <w:r w:rsidRPr="00AD6025">
        <w:t>: Equity cost of capital</w:t>
      </w:r>
    </w:p>
    <w:p w14:paraId="4872A73C" w14:textId="53EBE659" w:rsidR="00AD6025" w:rsidRPr="00B66A94" w:rsidRDefault="00AD6025" w:rsidP="00AD6025">
      <w:pPr>
        <w:pStyle w:val="NormalWeb"/>
        <w:numPr>
          <w:ilvl w:val="0"/>
          <w:numId w:val="24"/>
        </w:numPr>
      </w:pPr>
      <w:r w:rsidRPr="00AD6025">
        <w:t>g: Dividend growth rate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58"/>
      </w:tblGrid>
      <w:tr w:rsidR="00B66A94" w14:paraId="1FAD266C" w14:textId="77777777" w:rsidTr="002757D5">
        <w:trPr>
          <w:trHeight w:val="710"/>
        </w:trPr>
        <w:tc>
          <w:tcPr>
            <w:tcW w:w="5158" w:type="dxa"/>
          </w:tcPr>
          <w:p w14:paraId="4D7BC122" w14:textId="7AC708E0" w:rsidR="00B66A94" w:rsidRDefault="00B66A94" w:rsidP="00B66A94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EB9326" w14:textId="2739D28A" w:rsidR="00B66A94" w:rsidRDefault="00A74338" w:rsidP="00B66A94">
      <w:pPr>
        <w:pStyle w:val="NormalWeb"/>
        <w:ind w:left="360"/>
        <w:rPr>
          <w:b/>
          <w:bCs/>
          <w:color w:val="E97132" w:themeColor="accent2"/>
          <w:lang w:val="vi-VN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E97132" w:themeColor="accent2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Div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E97132" w:themeColor="accent2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0</m:t>
                </m:r>
              </m:sub>
            </m:sSub>
          </m:den>
        </m:f>
      </m:oMath>
      <w:r>
        <w:rPr>
          <w:b/>
          <w:bCs/>
          <w:color w:val="E97132" w:themeColor="accent2"/>
          <w:lang w:val="vi-VN"/>
        </w:rPr>
        <w:t>: Divident yield</w:t>
      </w:r>
    </w:p>
    <w:p w14:paraId="1303ECBD" w14:textId="603677BF" w:rsidR="002B01D4" w:rsidRDefault="00A74338" w:rsidP="002B01D4">
      <w:pPr>
        <w:pStyle w:val="NormalWeb"/>
        <w:ind w:left="360"/>
        <w:rPr>
          <w:b/>
          <w:bCs/>
          <w:color w:val="E97132" w:themeColor="accent2"/>
          <w:lang w:val="vi-VN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E97132" w:themeColor="accent2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E97132" w:themeColor="accent2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E97132" w:themeColor="accent2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0</m:t>
                </m:r>
              </m:sub>
            </m:sSub>
          </m:den>
        </m:f>
      </m:oMath>
      <w:r>
        <w:rPr>
          <w:b/>
          <w:bCs/>
          <w:color w:val="E97132" w:themeColor="accent2"/>
          <w:lang w:val="vi-VN"/>
        </w:rPr>
        <w:t>: Capital gain rate</w:t>
      </w:r>
    </w:p>
    <w:p w14:paraId="2ADD6531" w14:textId="77777777" w:rsidR="002B01D4" w:rsidRPr="002B01D4" w:rsidRDefault="002B01D4" w:rsidP="002B01D4">
      <w:pPr>
        <w:pStyle w:val="NormalWeb"/>
        <w:ind w:left="360"/>
        <w:rPr>
          <w:b/>
          <w:bCs/>
          <w:color w:val="E97132" w:themeColor="accent2"/>
          <w:lang w:val="vi-VN"/>
        </w:rPr>
      </w:pPr>
    </w:p>
    <w:p w14:paraId="18A9885A" w14:textId="7C469CC5" w:rsidR="00A74338" w:rsidRPr="00AD6025" w:rsidRDefault="002B01D4" w:rsidP="00E66400">
      <w:pPr>
        <w:pStyle w:val="NormalWeb"/>
        <w:rPr>
          <w:b/>
          <w:bCs/>
          <w:color w:val="0F9ED5" w:themeColor="accent4"/>
          <w:lang w:val="vi-VN"/>
        </w:rPr>
      </w:pPr>
      <w:r w:rsidRPr="00E66400">
        <w:rPr>
          <w:b/>
          <w:bCs/>
          <w:color w:val="0F9ED5" w:themeColor="accent4"/>
          <w:lang w:val="vi-VN"/>
        </w:rPr>
        <w:lastRenderedPageBreak/>
        <w:t>A multiyear investor timeline</w:t>
      </w:r>
    </w:p>
    <w:p w14:paraId="6A08CE2F" w14:textId="02A55BEA" w:rsidR="00126308" w:rsidRPr="00AD6025" w:rsidRDefault="00126308" w:rsidP="00126308">
      <w:pPr>
        <w:pStyle w:val="NormalWeb"/>
        <w:numPr>
          <w:ilvl w:val="0"/>
          <w:numId w:val="24"/>
        </w:numPr>
      </w:pPr>
      <w:r>
        <w:rPr>
          <w:lang w:val="vi-VN"/>
        </w:rPr>
        <w:t xml:space="preserve">Year 0: Buy the stock, pay price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>
        <w:rPr>
          <w:lang w:val="vi-VN"/>
        </w:rPr>
        <w:t xml:space="preserve"> (</w:t>
      </w:r>
      <w:r w:rsidRPr="00AD6025">
        <w:t xml:space="preserve">Price </w:t>
      </w:r>
      <w:r>
        <w:t>today</w:t>
      </w:r>
      <w:r>
        <w:rPr>
          <w:lang w:val="vi-VN"/>
        </w:rPr>
        <w:t>)</w:t>
      </w:r>
    </w:p>
    <w:p w14:paraId="6EDADB5B" w14:textId="7D23700A" w:rsidR="00126308" w:rsidRPr="00AD6025" w:rsidRDefault="00126308" w:rsidP="00126308">
      <w:pPr>
        <w:pStyle w:val="NormalWeb"/>
        <w:numPr>
          <w:ilvl w:val="0"/>
          <w:numId w:val="24"/>
        </w:numPr>
      </w:pPr>
      <w:r w:rsidRPr="00AD6025">
        <w:t>​</w:t>
      </w:r>
      <w:r>
        <w:t>Year</w:t>
      </w:r>
      <w:r>
        <w:rPr>
          <w:lang w:val="vi-VN"/>
        </w:rPr>
        <w:t xml:space="preserve"> 1: Receive dividend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Div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</m:oMath>
      <w:r>
        <w:rPr>
          <w:lang w:val="vi-VN"/>
        </w:rPr>
        <w:t xml:space="preserve"> (</w:t>
      </w:r>
      <w:r w:rsidRPr="00AD6025">
        <w:t xml:space="preserve">Dividend next </w:t>
      </w:r>
      <w:r>
        <w:t>year</w:t>
      </w:r>
      <w:r>
        <w:rPr>
          <w:lang w:val="vi-VN"/>
        </w:rPr>
        <w:t>)</w:t>
      </w:r>
    </w:p>
    <w:p w14:paraId="6CC993D0" w14:textId="39CB7D5D" w:rsidR="002527A9" w:rsidRPr="006C2BBF" w:rsidRDefault="00126308" w:rsidP="00126308">
      <w:pPr>
        <w:pStyle w:val="NormalWeb"/>
        <w:numPr>
          <w:ilvl w:val="0"/>
          <w:numId w:val="2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Year 2: Receive divident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Div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</m:oMath>
      <w:r>
        <w:rPr>
          <w:lang w:val="vi-VN"/>
        </w:rPr>
        <w:t xml:space="preserve"> and sell stock at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</m:oMath>
    </w:p>
    <w:p w14:paraId="6AD4F57B" w14:textId="0789EF82" w:rsidR="006C2BBF" w:rsidRDefault="006C2BBF" w:rsidP="006C2BBF">
      <w:pPr>
        <w:pStyle w:val="NormalWeb"/>
        <w:rPr>
          <w:b/>
          <w:bCs/>
          <w:lang w:val="vi-VN"/>
        </w:rPr>
      </w:pPr>
      <w:r>
        <w:rPr>
          <w:b/>
          <w:bCs/>
          <w:lang w:val="vi-VN"/>
        </w:rPr>
        <w:t>At year 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</w:tblGrid>
      <w:tr w:rsidR="006C2BBF" w14:paraId="47C515D5" w14:textId="77777777" w:rsidTr="006C2BBF">
        <w:trPr>
          <w:trHeight w:val="677"/>
        </w:trPr>
        <w:tc>
          <w:tcPr>
            <w:tcW w:w="2180" w:type="dxa"/>
          </w:tcPr>
          <w:p w14:paraId="2053BEA2" w14:textId="6EE36312" w:rsidR="006C2BBF" w:rsidRDefault="006C2BBF" w:rsidP="006C2BBF">
            <w:pPr>
              <w:pStyle w:val="NormalWeb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C723ED3" w14:textId="50D6E31F" w:rsidR="006C2BBF" w:rsidRDefault="006C2BBF" w:rsidP="006C2BBF">
      <w:pPr>
        <w:pStyle w:val="NormalWeb"/>
        <w:rPr>
          <w:b/>
          <w:bCs/>
          <w:lang w:val="vi-VN"/>
        </w:rPr>
      </w:pPr>
      <w:r>
        <w:rPr>
          <w:b/>
          <w:bCs/>
          <w:lang w:val="vi-VN"/>
        </w:rPr>
        <w:t>But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</w:tblGrid>
      <w:tr w:rsidR="006C2BBF" w14:paraId="7514FBE6" w14:textId="77777777" w:rsidTr="006C2BBF">
        <w:trPr>
          <w:trHeight w:val="648"/>
        </w:trPr>
        <w:tc>
          <w:tcPr>
            <w:tcW w:w="2449" w:type="dxa"/>
          </w:tcPr>
          <w:p w14:paraId="1E426B24" w14:textId="50DA929C" w:rsidR="006C2BBF" w:rsidRDefault="006C2BBF" w:rsidP="006C2BBF">
            <w:pPr>
              <w:pStyle w:val="NormalWeb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2D1C96D" w14:textId="1B95C81C" w:rsidR="006C2BBF" w:rsidRPr="007973E3" w:rsidRDefault="00CB4044" w:rsidP="006C2BBF">
      <w:pPr>
        <w:pStyle w:val="NormalWeb"/>
        <w:rPr>
          <w:b/>
          <w:bCs/>
          <w:lang w:val="vi-VN"/>
        </w:rPr>
      </w:pPr>
      <w:r w:rsidRPr="007973E3">
        <w:rPr>
          <w:b/>
          <w:bCs/>
          <w:lang w:val="vi-VN"/>
        </w:rPr>
        <w:t xml:space="preserve">Substitute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1</m:t>
            </m:r>
          </m:sub>
        </m:sSub>
      </m:oMath>
      <w:r w:rsidRPr="007973E3">
        <w:rPr>
          <w:b/>
          <w:bCs/>
          <w:lang w:val="vi-VN"/>
        </w:rPr>
        <w:t xml:space="preserve"> into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0</m:t>
            </m:r>
          </m:sub>
        </m:sSub>
      </m:oMath>
      <w:r w:rsidR="004B62A7" w:rsidRPr="007973E3">
        <w:rPr>
          <w:b/>
          <w:bCs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0"/>
      </w:tblGrid>
      <w:tr w:rsidR="00553AEE" w14:paraId="41E86A7C" w14:textId="77777777" w:rsidTr="00553AEE">
        <w:trPr>
          <w:trHeight w:val="531"/>
        </w:trPr>
        <w:tc>
          <w:tcPr>
            <w:tcW w:w="4380" w:type="dxa"/>
          </w:tcPr>
          <w:p w14:paraId="6F8AFBBD" w14:textId="3D0F6DC9" w:rsidR="00553AEE" w:rsidRPr="00553AEE" w:rsidRDefault="00553AEE" w:rsidP="006C2BBF">
            <w:pPr>
              <w:pStyle w:val="NormalWeb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8493E49" w14:textId="7BD8F3E6" w:rsidR="00553AEE" w:rsidRPr="004700CE" w:rsidRDefault="007973E3" w:rsidP="006C2BBF">
      <w:pPr>
        <w:pStyle w:val="NormalWeb"/>
        <w:rPr>
          <w:b/>
          <w:bCs/>
          <w:color w:val="0F9ED5" w:themeColor="accent4"/>
          <w:lang w:val="vi-VN"/>
        </w:rPr>
      </w:pPr>
      <w:r w:rsidRPr="007973E3">
        <w:rPr>
          <w:b/>
          <w:bCs/>
          <w:lang w:val="vi-VN"/>
        </w:rPr>
        <w:t>General Form of DDM:</w:t>
      </w:r>
      <w:r w:rsidR="004700CE">
        <w:rPr>
          <w:b/>
          <w:bCs/>
          <w:lang w:val="vi-VN"/>
        </w:rPr>
        <w:t xml:space="preserve"> </w:t>
      </w:r>
      <w:r w:rsidR="004700CE" w:rsidRPr="004700CE">
        <w:rPr>
          <w:b/>
          <w:bCs/>
          <w:color w:val="0F9ED5" w:themeColor="accent4"/>
          <w:lang w:val="vi-VN"/>
        </w:rPr>
        <w:t>(g ko ổn định)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0"/>
      </w:tblGrid>
      <w:tr w:rsidR="007973E3" w14:paraId="0D452379" w14:textId="77777777" w:rsidTr="00642C0C">
        <w:trPr>
          <w:trHeight w:val="737"/>
        </w:trPr>
        <w:tc>
          <w:tcPr>
            <w:tcW w:w="6240" w:type="dxa"/>
          </w:tcPr>
          <w:p w14:paraId="523318A4" w14:textId="14AF918A" w:rsidR="007973E3" w:rsidRDefault="007973E3" w:rsidP="006C2BBF">
            <w:pPr>
              <w:pStyle w:val="NormalWeb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7341ECA" w14:textId="48DDFB6F" w:rsidR="007973E3" w:rsidRPr="007973E3" w:rsidRDefault="00DE0D06" w:rsidP="006C2BBF">
      <w:pPr>
        <w:pStyle w:val="NormalWeb"/>
        <w:rPr>
          <w:b/>
          <w:bCs/>
          <w:lang w:val="vi-VN"/>
        </w:rPr>
      </w:pPr>
      <w:r w:rsidRPr="00DE0D06">
        <w:rPr>
          <w:b/>
          <w:bCs/>
        </w:rPr>
        <w:t>Infinite Horizon (Stock never sold):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</w:tblGrid>
      <w:tr w:rsidR="00246E92" w14:paraId="48317388" w14:textId="77777777" w:rsidTr="00246E92">
        <w:trPr>
          <w:trHeight w:val="1049"/>
        </w:trPr>
        <w:tc>
          <w:tcPr>
            <w:tcW w:w="2670" w:type="dxa"/>
          </w:tcPr>
          <w:p w14:paraId="67411E3A" w14:textId="45E5484D" w:rsidR="00246E92" w:rsidRPr="00246E92" w:rsidRDefault="00246E92" w:rsidP="006C2BBF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h=1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Div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1+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E97132" w:themeColor="accent2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97132" w:themeColor="accent2"/>
                                        <w:lang w:val="vi-V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E97132" w:themeColor="accent2"/>
                                        <w:lang w:val="vi-VN"/>
                                      </w:rPr>
                                      <m:t>E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14:paraId="460C03CF" w14:textId="19E85278" w:rsidR="00C352F5" w:rsidRPr="00DC5406" w:rsidRDefault="00DC5406" w:rsidP="00DC5406">
      <w:pPr>
        <w:pStyle w:val="NormalWeb"/>
        <w:numPr>
          <w:ilvl w:val="0"/>
          <w:numId w:val="26"/>
        </w:numPr>
        <w:rPr>
          <w:lang w:val="vi-VN"/>
        </w:rPr>
      </w:pPr>
      <w:r w:rsidRPr="00DC5406">
        <w:t>This means the price of the stock is the present value of all expected future dividends.</w:t>
      </w:r>
    </w:p>
    <w:p w14:paraId="4A82899F" w14:textId="71CFBBE3" w:rsidR="00B73DE2" w:rsidRPr="00A92C4F" w:rsidRDefault="00A92C4F" w:rsidP="008A0FEB">
      <w:pPr>
        <w:pStyle w:val="NormalWeb"/>
        <w:rPr>
          <w:b/>
          <w:bCs/>
          <w:color w:val="C00000"/>
          <w:lang w:val="vi-VN"/>
        </w:rPr>
      </w:pPr>
      <w:r w:rsidRPr="00A92C4F">
        <w:rPr>
          <w:b/>
          <w:bCs/>
          <w:color w:val="C00000"/>
        </w:rPr>
        <w:t>Special Case – Perpetuity (Constant Dividend):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</w:tblGrid>
      <w:tr w:rsidR="00A92C4F" w14:paraId="7C9836AF" w14:textId="77777777" w:rsidTr="00A92C4F">
        <w:trPr>
          <w:trHeight w:val="817"/>
        </w:trPr>
        <w:tc>
          <w:tcPr>
            <w:tcW w:w="2125" w:type="dxa"/>
          </w:tcPr>
          <w:p w14:paraId="2A5E3EB4" w14:textId="4A4848D7" w:rsidR="00A92C4F" w:rsidRDefault="00A92C4F" w:rsidP="00B73DE2">
            <w:pPr>
              <w:pStyle w:val="NormalWeb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E97BB91" w14:textId="11DBE1A0" w:rsidR="00770131" w:rsidRPr="00770131" w:rsidRDefault="00770131" w:rsidP="00770131">
      <w:pPr>
        <w:pStyle w:val="NormalWeb"/>
        <w:numPr>
          <w:ilvl w:val="0"/>
          <w:numId w:val="28"/>
        </w:numPr>
        <w:rPr>
          <w:lang w:val="vi-VN"/>
        </w:rPr>
      </w:pPr>
      <w:r w:rsidRPr="00770131">
        <w:t>Constant dividend forever</w:t>
      </w:r>
    </w:p>
    <w:p w14:paraId="1D2E7BDA" w14:textId="31D1ACD4" w:rsidR="00EF7F9B" w:rsidRPr="00EF7F9B" w:rsidRDefault="00770131" w:rsidP="00EF7F9B">
      <w:pPr>
        <w:pStyle w:val="NormalWeb"/>
        <w:numPr>
          <w:ilvl w:val="0"/>
          <w:numId w:val="28"/>
        </w:numPr>
        <w:rPr>
          <w:lang w:val="vi-VN"/>
        </w:rPr>
      </w:pPr>
      <w:r w:rsidRPr="00770131">
        <w:t>No growth (g</w:t>
      </w:r>
      <w:r w:rsidRPr="00770131">
        <w:rPr>
          <w:lang w:val="vi-VN"/>
        </w:rPr>
        <w:t xml:space="preserve"> = 0)</w:t>
      </w:r>
    </w:p>
    <w:p w14:paraId="0689AF40" w14:textId="03380731" w:rsidR="00EF7F9B" w:rsidRDefault="00EF7F9B" w:rsidP="00EF7F9B">
      <w:pPr>
        <w:pStyle w:val="NormalWeb"/>
        <w:rPr>
          <w:b/>
          <w:bCs/>
          <w:color w:val="0F9ED5" w:themeColor="accent4"/>
          <w:lang w:val="vi-VN"/>
        </w:rPr>
      </w:pPr>
      <w:r>
        <w:rPr>
          <w:b/>
          <w:bCs/>
          <w:color w:val="0F9ED5" w:themeColor="accent4"/>
          <w:lang w:val="vi-VN"/>
        </w:rPr>
        <w:lastRenderedPageBreak/>
        <w:t>Constant dividend growth</w:t>
      </w:r>
      <w:r w:rsidR="00774C85">
        <w:rPr>
          <w:b/>
          <w:bCs/>
          <w:color w:val="0F9ED5" w:themeColor="accent4"/>
          <w:lang w:val="vi-VN"/>
        </w:rPr>
        <w:t xml:space="preserve"> (perpetuity):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</w:tblGrid>
      <w:tr w:rsidR="005117E4" w14:paraId="7E55BD85" w14:textId="77777777" w:rsidTr="005117E4">
        <w:trPr>
          <w:trHeight w:val="681"/>
        </w:trPr>
        <w:tc>
          <w:tcPr>
            <w:tcW w:w="2543" w:type="dxa"/>
          </w:tcPr>
          <w:p w14:paraId="4E1B09DA" w14:textId="693423CC" w:rsidR="005117E4" w:rsidRPr="005117E4" w:rsidRDefault="005117E4" w:rsidP="005117E4">
            <w:pPr>
              <w:pStyle w:val="NormalWeb"/>
              <w:ind w:firstLine="610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-g</m:t>
                    </m:r>
                  </m:den>
                </m:f>
              </m:oMath>
            </m:oMathPara>
          </w:p>
        </w:tc>
      </w:tr>
    </w:tbl>
    <w:p w14:paraId="32694B7A" w14:textId="2A2AC1D7" w:rsidR="005117E4" w:rsidRPr="00AD6025" w:rsidRDefault="005117E4" w:rsidP="00EF7F9B">
      <w:pPr>
        <w:pStyle w:val="NormalWeb"/>
        <w:rPr>
          <w:b/>
          <w:bCs/>
          <w:lang w:val="vi-VN"/>
        </w:rPr>
      </w:pPr>
      <w:r w:rsidRPr="005117E4">
        <w:rPr>
          <w:b/>
          <w:bCs/>
          <w:lang w:val="vi-VN"/>
        </w:rPr>
        <w:t xml:space="preserve">Rearranging 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E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</w:tblGrid>
      <w:tr w:rsidR="005117E4" w14:paraId="336823A8" w14:textId="77777777" w:rsidTr="005117E4">
        <w:trPr>
          <w:trHeight w:val="619"/>
        </w:trPr>
        <w:tc>
          <w:tcPr>
            <w:tcW w:w="2468" w:type="dxa"/>
          </w:tcPr>
          <w:p w14:paraId="7BA2E640" w14:textId="18A8C6FC" w:rsidR="005117E4" w:rsidRDefault="005117E4" w:rsidP="00B73DE2">
            <w:pPr>
              <w:pStyle w:val="NormalWeb"/>
              <w:rPr>
                <w:b/>
                <w:bCs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+g</m:t>
                </m:r>
              </m:oMath>
            </m:oMathPara>
          </w:p>
        </w:tc>
      </w:tr>
    </w:tbl>
    <w:p w14:paraId="39C3606D" w14:textId="27A5C379" w:rsidR="00DB4AAE" w:rsidRPr="00DB4AAE" w:rsidRDefault="00DB4AAE" w:rsidP="00B73DE2">
      <w:pPr>
        <w:pStyle w:val="NormalWeb"/>
        <w:rPr>
          <w:b/>
          <w:bCs/>
          <w:lang w:val="vi-VN"/>
        </w:rPr>
      </w:pPr>
      <w:r w:rsidRPr="006F7AC1">
        <w:rPr>
          <w:b/>
          <w:bCs/>
          <w:color w:val="C00000"/>
          <w:lang w:val="vi-VN"/>
        </w:rPr>
        <w:t xml:space="preserve">Limitations: </w:t>
      </w:r>
      <w:r w:rsidRPr="006F7AC1">
        <w:rPr>
          <w:b/>
          <w:bCs/>
          <w:color w:val="C00000"/>
          <w:lang w:val="vi-VN"/>
        </w:rPr>
        <w:br/>
      </w:r>
      <w:r>
        <w:rPr>
          <w:b/>
          <w:bCs/>
          <w:lang w:val="vi-VN"/>
        </w:rPr>
        <w:br/>
      </w:r>
      <w:r w:rsidRPr="00DB4AAE">
        <w:rPr>
          <w:b/>
          <w:bCs/>
          <w:lang w:val="vi-VN"/>
        </w:rPr>
        <w:drawing>
          <wp:inline distT="0" distB="0" distL="0" distR="0" wp14:anchorId="5E697A8E" wp14:editId="66E213CC">
            <wp:extent cx="5292534" cy="640080"/>
            <wp:effectExtent l="0" t="0" r="3810" b="7620"/>
            <wp:docPr id="33072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3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690" cy="6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14A" w14:textId="77777777" w:rsidR="003F7642" w:rsidRPr="003F7642" w:rsidRDefault="003F7642" w:rsidP="003F7642">
      <w:pPr>
        <w:pStyle w:val="NormalWeb"/>
        <w:rPr>
          <w:b/>
          <w:bCs/>
          <w:color w:val="C00000"/>
        </w:rPr>
      </w:pPr>
      <w:r w:rsidRPr="003F7642">
        <w:rPr>
          <w:b/>
          <w:bCs/>
          <w:color w:val="C00000"/>
        </w:rPr>
        <w:t>With constant expected dividend growth, the expected growth rate of the share price matches the growth rate of dividends.</w:t>
      </w:r>
    </w:p>
    <w:p w14:paraId="670D95B4" w14:textId="53B56689" w:rsidR="003F7642" w:rsidRPr="003F7642" w:rsidRDefault="003F7642" w:rsidP="003F7642">
      <w:pPr>
        <w:pStyle w:val="NormalWeb"/>
        <w:numPr>
          <w:ilvl w:val="0"/>
          <w:numId w:val="21"/>
        </w:numPr>
        <w:rPr>
          <w:b/>
          <w:bCs/>
          <w:color w:val="FF0000"/>
          <w:lang w:val="vi-VN"/>
        </w:rPr>
      </w:pPr>
      <w:r w:rsidRPr="0075649D">
        <w:rPr>
          <w:b/>
          <w:bCs/>
          <w:color w:val="FF0000"/>
          <w:lang w:val="vi-VN"/>
        </w:rPr>
        <w:t>Dividends Versus Investment and Growth</w:t>
      </w:r>
    </w:p>
    <w:p w14:paraId="5011D425" w14:textId="37CB7893" w:rsidR="00B73DE2" w:rsidRDefault="00D60DFF" w:rsidP="003F7642">
      <w:pPr>
        <w:pStyle w:val="NormalWeb"/>
        <w:rPr>
          <w:b/>
          <w:bCs/>
          <w:color w:val="0F9ED5" w:themeColor="accent4"/>
          <w:lang w:val="vi-VN"/>
        </w:rPr>
      </w:pPr>
      <w:r w:rsidRPr="00D60DFF">
        <w:rPr>
          <w:b/>
          <w:bCs/>
          <w:color w:val="0F9ED5" w:themeColor="accent4"/>
          <w:lang w:val="vi-VN"/>
        </w:rPr>
        <w:t>A Simple Model of Growth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29D" w14:paraId="20C5F305" w14:textId="77777777" w:rsidTr="000A229D">
        <w:tc>
          <w:tcPr>
            <w:tcW w:w="9350" w:type="dxa"/>
          </w:tcPr>
          <w:p w14:paraId="0A2AA343" w14:textId="3CD81FA9" w:rsidR="000A229D" w:rsidRPr="000A229D" w:rsidRDefault="000A229D" w:rsidP="003F7642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Div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Earnings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Shar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es Outstanding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 xml:space="preserve">*Dividend Payout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Rate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 xml:space="preserve"> </m:t>
                </m:r>
              </m:oMath>
            </m:oMathPara>
          </w:p>
        </w:tc>
      </w:tr>
    </w:tbl>
    <w:p w14:paraId="2340DFA6" w14:textId="47C5B6FF" w:rsidR="000A229D" w:rsidRPr="000A229D" w:rsidRDefault="000A229D" w:rsidP="003F7642">
      <w:pPr>
        <w:pStyle w:val="NormalWeb"/>
        <w:rPr>
          <w:b/>
          <w:bCs/>
          <w:lang w:val="vi-VN"/>
        </w:rPr>
      </w:pP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Shares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Outstanding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t</m:t>
            </m:r>
          </m:sub>
        </m:sSub>
      </m:oMath>
      <w:r w:rsidRPr="000A229D">
        <w:rPr>
          <w:b/>
          <w:bCs/>
          <w:lang w:val="vi-VN"/>
        </w:rPr>
        <w:t>:</w:t>
      </w:r>
      <m:oMath>
        <m:r>
          <m:rPr>
            <m:sty m:val="bi"/>
          </m:rPr>
          <w:rPr>
            <w:rFonts w:ascii="Cambria Math" w:hAnsi="Cambria Math"/>
            <w:lang w:val="vi-V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EPS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t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2A2" w14:paraId="0FA8C1A1" w14:textId="77777777" w:rsidTr="002472A2">
        <w:tc>
          <w:tcPr>
            <w:tcW w:w="9350" w:type="dxa"/>
          </w:tcPr>
          <w:p w14:paraId="54F32A40" w14:textId="6C41608B" w:rsidR="00935222" w:rsidRPr="00935222" w:rsidRDefault="00935222" w:rsidP="002472A2">
            <w:pPr>
              <w:pStyle w:val="NormalWeb"/>
              <w:rPr>
                <w:b/>
                <w:bCs/>
                <w:color w:val="E97132" w:themeColor="accent2"/>
              </w:rPr>
            </w:pPr>
            <w:r>
              <w:rPr>
                <w:b/>
                <w:bCs/>
                <w:color w:val="E97132" w:themeColor="accent2"/>
                <w:lang w:val="vi-VN"/>
              </w:rPr>
              <w:br/>
            </w:r>
            <w:r w:rsidR="002472A2" w:rsidRPr="00935222">
              <w:rPr>
                <w:b/>
                <w:bCs/>
                <w:color w:val="E97132" w:themeColor="accent2"/>
                <w:lang w:val="vi-VN"/>
              </w:rPr>
              <w:t xml:space="preserve">Dividend payout rate: The fraction of </w:t>
            </w:r>
            <w:r w:rsidR="002472A2" w:rsidRPr="00935222">
              <w:rPr>
                <w:b/>
                <w:bCs/>
                <w:color w:val="E97132" w:themeColor="accent2"/>
              </w:rPr>
              <w:t>its earnings that a firm pays as div each year</w:t>
            </w:r>
            <w:r>
              <w:rPr>
                <w:b/>
                <w:bCs/>
                <w:color w:val="E97132" w:themeColor="accent2"/>
              </w:rPr>
              <w:br/>
            </w:r>
          </w:p>
        </w:tc>
      </w:tr>
      <w:tr w:rsidR="002472A2" w14:paraId="500663B8" w14:textId="77777777" w:rsidTr="002472A2">
        <w:tc>
          <w:tcPr>
            <w:tcW w:w="9350" w:type="dxa"/>
          </w:tcPr>
          <w:p w14:paraId="5818F1F0" w14:textId="71F12C9E" w:rsidR="002472A2" w:rsidRPr="001E3ACB" w:rsidRDefault="00935222" w:rsidP="002472A2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w:r>
              <w:rPr>
                <w:b/>
                <w:bCs/>
                <w:color w:val="E97132" w:themeColor="accent2"/>
              </w:rPr>
              <w:br/>
            </w:r>
            <w:r w:rsidR="002472A2" w:rsidRPr="00935222">
              <w:rPr>
                <w:b/>
                <w:bCs/>
                <w:color w:val="E97132" w:themeColor="accent2"/>
              </w:rPr>
              <w:t xml:space="preserve">Change in Earnings = New Investment * </w:t>
            </w:r>
            <w:r w:rsidR="001E3ACB">
              <w:rPr>
                <w:b/>
                <w:bCs/>
                <w:color w:val="E97132" w:themeColor="accent2"/>
              </w:rPr>
              <w:t>ROI</w:t>
            </w:r>
            <w:r>
              <w:rPr>
                <w:b/>
                <w:bCs/>
                <w:color w:val="E97132" w:themeColor="accent2"/>
              </w:rPr>
              <w:br/>
            </w:r>
          </w:p>
        </w:tc>
      </w:tr>
      <w:tr w:rsidR="002472A2" w14:paraId="655FFB0F" w14:textId="77777777" w:rsidTr="002472A2">
        <w:tc>
          <w:tcPr>
            <w:tcW w:w="9350" w:type="dxa"/>
          </w:tcPr>
          <w:p w14:paraId="202C7A63" w14:textId="69733F80" w:rsidR="002472A2" w:rsidRPr="00935222" w:rsidRDefault="00935222" w:rsidP="002472A2">
            <w:pPr>
              <w:pStyle w:val="NormalWeb"/>
              <w:rPr>
                <w:b/>
                <w:bCs/>
                <w:color w:val="E97132" w:themeColor="accent2"/>
              </w:rPr>
            </w:pPr>
            <w:r>
              <w:rPr>
                <w:b/>
                <w:bCs/>
                <w:color w:val="E97132" w:themeColor="accent2"/>
              </w:rPr>
              <w:br/>
            </w:r>
            <w:r w:rsidR="002472A2" w:rsidRPr="00935222">
              <w:rPr>
                <w:b/>
                <w:bCs/>
                <w:color w:val="E97132" w:themeColor="accent2"/>
              </w:rPr>
              <w:t>New investment = Earnings * Retention rate</w:t>
            </w:r>
            <w:r>
              <w:rPr>
                <w:b/>
                <w:bCs/>
                <w:color w:val="E97132" w:themeColor="accent2"/>
              </w:rPr>
              <w:br/>
            </w:r>
          </w:p>
        </w:tc>
      </w:tr>
      <w:tr w:rsidR="002472A2" w14:paraId="697BD374" w14:textId="77777777" w:rsidTr="002472A2">
        <w:tc>
          <w:tcPr>
            <w:tcW w:w="9350" w:type="dxa"/>
          </w:tcPr>
          <w:p w14:paraId="2E2F5926" w14:textId="3B0E024C" w:rsidR="002472A2" w:rsidRPr="00935222" w:rsidRDefault="00935222" w:rsidP="002472A2">
            <w:pPr>
              <w:pStyle w:val="NormalWeb"/>
              <w:rPr>
                <w:b/>
                <w:bCs/>
                <w:color w:val="E97132" w:themeColor="accent2"/>
              </w:rPr>
            </w:pPr>
            <w:r>
              <w:rPr>
                <w:b/>
                <w:bCs/>
                <w:color w:val="E97132" w:themeColor="accent2"/>
              </w:rPr>
              <w:br/>
            </w:r>
            <w:r w:rsidR="002472A2" w:rsidRPr="00935222">
              <w:rPr>
                <w:b/>
                <w:bCs/>
                <w:color w:val="E97132" w:themeColor="accent2"/>
              </w:rPr>
              <w:t xml:space="preserve">Change in Earnings = Earnings * Retention Rate * </w:t>
            </w:r>
            <w:r w:rsidR="001E3ACB">
              <w:rPr>
                <w:b/>
                <w:bCs/>
                <w:color w:val="E97132" w:themeColor="accent2"/>
              </w:rPr>
              <w:t>ROI</w:t>
            </w:r>
            <w:r>
              <w:rPr>
                <w:b/>
                <w:bCs/>
                <w:color w:val="E97132" w:themeColor="accent2"/>
              </w:rPr>
              <w:br/>
            </w:r>
          </w:p>
        </w:tc>
      </w:tr>
      <w:tr w:rsidR="002472A2" w14:paraId="20A3F2AC" w14:textId="77777777" w:rsidTr="002472A2">
        <w:tc>
          <w:tcPr>
            <w:tcW w:w="9350" w:type="dxa"/>
          </w:tcPr>
          <w:p w14:paraId="4E6C0260" w14:textId="71B8A323" w:rsidR="002472A2" w:rsidRPr="00935222" w:rsidRDefault="00935222" w:rsidP="002472A2">
            <w:pPr>
              <w:pStyle w:val="NormalWeb"/>
              <w:rPr>
                <w:rFonts w:ascii="Cambria Math" w:hAnsi="Cambria Math"/>
                <w:b/>
                <w:bCs/>
                <w:iCs/>
                <w:color w:val="E97132" w:themeColor="accent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E97132" w:themeColor="accent2"/>
              </w:rPr>
              <w:br/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</w:rPr>
                    <m:t xml:space="preserve">hange in Earnings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</w:rPr>
                    <m:t>arnings</m:t>
                  </m:r>
                </m:den>
              </m:f>
            </m:oMath>
            <w:r w:rsidR="002472A2" w:rsidRPr="00935222">
              <w:rPr>
                <w:rFonts w:ascii="Cambria Math" w:hAnsi="Cambria Math"/>
                <w:b/>
                <w:bCs/>
                <w:color w:val="E97132" w:themeColor="accent2"/>
              </w:rPr>
              <w:t xml:space="preserve"> </w:t>
            </w:r>
            <w:r w:rsidR="002472A2" w:rsidRPr="00935222">
              <w:rPr>
                <w:rFonts w:ascii="Cambria Math" w:hAnsi="Cambria Math"/>
                <w:b/>
                <w:bCs/>
                <w:iCs/>
                <w:color w:val="E97132" w:themeColor="accent2"/>
              </w:rPr>
              <w:t xml:space="preserve">= Retention Rate * </w:t>
            </w:r>
            <w:r w:rsidR="001E3ACB">
              <w:rPr>
                <w:rFonts w:ascii="Cambria Math" w:hAnsi="Cambria Math"/>
                <w:b/>
                <w:bCs/>
                <w:iCs/>
                <w:color w:val="E97132" w:themeColor="accent2"/>
              </w:rPr>
              <w:t>ROI</w:t>
            </w:r>
            <w:r>
              <w:rPr>
                <w:rFonts w:ascii="Cambria Math" w:hAnsi="Cambria Math"/>
                <w:b/>
                <w:bCs/>
                <w:iCs/>
                <w:color w:val="E97132" w:themeColor="accent2"/>
              </w:rPr>
              <w:br/>
            </w:r>
          </w:p>
        </w:tc>
      </w:tr>
      <w:tr w:rsidR="002472A2" w14:paraId="66650776" w14:textId="77777777" w:rsidTr="002472A2">
        <w:tc>
          <w:tcPr>
            <w:tcW w:w="9350" w:type="dxa"/>
          </w:tcPr>
          <w:p w14:paraId="4CA16323" w14:textId="37BBC5D2" w:rsidR="002472A2" w:rsidRPr="00935222" w:rsidRDefault="00935222" w:rsidP="002472A2">
            <w:pPr>
              <w:pStyle w:val="NormalWeb"/>
              <w:rPr>
                <w:b/>
                <w:bCs/>
                <w:color w:val="E97132" w:themeColor="accent2"/>
              </w:rPr>
            </w:pPr>
            <w:r>
              <w:rPr>
                <w:b/>
                <w:bCs/>
                <w:color w:val="E97132" w:themeColor="accent2"/>
              </w:rPr>
              <w:lastRenderedPageBreak/>
              <w:br/>
            </w:r>
            <w:r w:rsidR="00411F0D">
              <w:rPr>
                <w:b/>
                <w:bCs/>
                <w:color w:val="E97132" w:themeColor="accent2"/>
              </w:rPr>
              <w:t>EPS</w:t>
            </w:r>
            <w:r w:rsidR="00411F0D">
              <w:rPr>
                <w:b/>
                <w:bCs/>
                <w:color w:val="E97132" w:themeColor="accent2"/>
                <w:lang w:val="vi-VN"/>
              </w:rPr>
              <w:t xml:space="preserve"> growth (</w:t>
            </w:r>
            <w:r w:rsidR="00411F0D">
              <w:rPr>
                <w:b/>
                <w:bCs/>
                <w:color w:val="E97132" w:themeColor="accent2"/>
              </w:rPr>
              <w:t>g</w:t>
            </w:r>
            <w:r w:rsidR="00411F0D">
              <w:rPr>
                <w:b/>
                <w:bCs/>
                <w:color w:val="E97132" w:themeColor="accent2"/>
                <w:lang w:val="vi-VN"/>
              </w:rPr>
              <w:t>)</w:t>
            </w:r>
            <w:r w:rsidR="002472A2" w:rsidRPr="00935222">
              <w:rPr>
                <w:b/>
                <w:bCs/>
                <w:color w:val="E97132" w:themeColor="accent2"/>
              </w:rPr>
              <w:t xml:space="preserve"> = Retention Rate * </w:t>
            </w:r>
            <w:r w:rsidR="00E8532F">
              <w:rPr>
                <w:b/>
                <w:bCs/>
                <w:color w:val="E97132" w:themeColor="accent2"/>
              </w:rPr>
              <w:t>ROI</w:t>
            </w:r>
            <w:r>
              <w:rPr>
                <w:b/>
                <w:bCs/>
                <w:color w:val="E97132" w:themeColor="accent2"/>
              </w:rPr>
              <w:br/>
            </w:r>
          </w:p>
        </w:tc>
      </w:tr>
      <w:tr w:rsidR="002472A2" w14:paraId="32E6ED2D" w14:textId="77777777" w:rsidTr="002472A2">
        <w:tc>
          <w:tcPr>
            <w:tcW w:w="9350" w:type="dxa"/>
          </w:tcPr>
          <w:p w14:paraId="4CDC1A39" w14:textId="7EE7EF71" w:rsidR="002472A2" w:rsidRPr="00935222" w:rsidRDefault="00935222" w:rsidP="002472A2">
            <w:pPr>
              <w:pStyle w:val="NormalWeb"/>
              <w:rPr>
                <w:b/>
                <w:bCs/>
                <w:color w:val="E97132" w:themeColor="accent2"/>
              </w:rPr>
            </w:pPr>
            <w:r>
              <w:rPr>
                <w:b/>
                <w:bCs/>
                <w:color w:val="E97132" w:themeColor="accent2"/>
              </w:rPr>
              <w:br/>
            </w:r>
            <w:r w:rsidR="002472A2" w:rsidRPr="00935222">
              <w:rPr>
                <w:b/>
                <w:bCs/>
                <w:color w:val="E97132" w:themeColor="accent2"/>
              </w:rPr>
              <w:t>Sustainable Growth Rate: The rate ai which a firm can grow using only retained</w:t>
            </w:r>
            <w:r>
              <w:rPr>
                <w:b/>
                <w:bCs/>
                <w:color w:val="E97132" w:themeColor="accent2"/>
              </w:rPr>
              <w:t xml:space="preserve"> </w:t>
            </w:r>
            <w:r w:rsidR="002472A2" w:rsidRPr="00935222">
              <w:rPr>
                <w:b/>
                <w:bCs/>
                <w:color w:val="E97132" w:themeColor="accent2"/>
              </w:rPr>
              <w:t>earnings</w:t>
            </w:r>
            <w:r>
              <w:rPr>
                <w:b/>
                <w:bCs/>
                <w:color w:val="E97132" w:themeColor="accent2"/>
              </w:rPr>
              <w:br/>
            </w:r>
          </w:p>
        </w:tc>
      </w:tr>
    </w:tbl>
    <w:p w14:paraId="74858192" w14:textId="6CACCD28" w:rsidR="0059642D" w:rsidRDefault="0059642D" w:rsidP="0059642D">
      <w:pPr>
        <w:pStyle w:val="NormalWeb"/>
        <w:rPr>
          <w:b/>
          <w:bCs/>
          <w:color w:val="0F9ED5" w:themeColor="accent4"/>
          <w:lang w:val="vi-VN"/>
        </w:rPr>
      </w:pPr>
      <w:r>
        <w:rPr>
          <w:b/>
          <w:bCs/>
          <w:color w:val="0F9ED5" w:themeColor="accent4"/>
          <w:lang w:val="vi-VN"/>
        </w:rPr>
        <w:t>Changing Growth Rates</w:t>
      </w:r>
    </w:p>
    <w:p w14:paraId="1099655F" w14:textId="1F55A9CD" w:rsidR="008C5451" w:rsidRPr="008C5451" w:rsidRDefault="008C5451" w:rsidP="008C5451">
      <w:pPr>
        <w:pStyle w:val="NormalWeb"/>
        <w:numPr>
          <w:ilvl w:val="0"/>
          <w:numId w:val="24"/>
        </w:numPr>
      </w:pPr>
      <w:r w:rsidRPr="008C5451">
        <w:t>Terminal Value at Year N (assuming constant growth g starting Year N+1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1"/>
      </w:tblGrid>
      <w:tr w:rsidR="003E7C8C" w14:paraId="1BDD4EB0" w14:textId="77777777" w:rsidTr="003E7C8C">
        <w:trPr>
          <w:trHeight w:val="545"/>
        </w:trPr>
        <w:tc>
          <w:tcPr>
            <w:tcW w:w="6411" w:type="dxa"/>
          </w:tcPr>
          <w:p w14:paraId="0AE8B10F" w14:textId="7BB2C106" w:rsidR="003E7C8C" w:rsidRPr="003E7C8C" w:rsidRDefault="003E7C8C" w:rsidP="008C5451">
            <w:pPr>
              <w:pStyle w:val="NormalWeb"/>
              <w:rPr>
                <w:rFonts w:ascii="Cambria Math" w:hAnsi="Cambria Math"/>
                <w:b/>
                <w:bCs/>
                <w:iCs/>
                <w:color w:val="E97132" w:themeColor="accent2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E97132" w:themeColor="accent2"/>
                          <w:lang w:val="vi-V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97132" w:themeColor="accent2"/>
                          <w:lang w:val="vi-VN"/>
                        </w:rPr>
                        <m:t>Div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97132" w:themeColor="accent2"/>
                          <w:lang w:val="vi-VN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E97132" w:themeColor="accent2"/>
                          <w:lang w:val="vi-V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97132" w:themeColor="accent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97132" w:themeColor="accent2"/>
                          <w:lang w:val="vi-VN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-g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 xml:space="preserve"> </m:t>
              </m:r>
            </m:oMath>
            <w:r>
              <w:rPr>
                <w:rFonts w:ascii="Cambria Math" w:hAnsi="Cambria Math"/>
                <w:b/>
                <w:bCs/>
                <w:iCs/>
                <w:color w:val="E97132" w:themeColor="accent2"/>
                <w:lang w:val="vi-VN"/>
              </w:rPr>
              <w:t xml:space="preserve">=&gt; </w:t>
            </w:r>
            <w:r w:rsidRPr="003E7C8C">
              <w:rPr>
                <w:rFonts w:ascii="Cambria Math" w:hAnsi="Cambria Math"/>
                <w:b/>
                <w:bCs/>
                <w:iCs/>
                <w:color w:val="E97132" w:themeColor="accent2"/>
              </w:rPr>
              <w:t>This is the Continuation or Terminal Value</w:t>
            </w:r>
          </w:p>
        </w:tc>
      </w:tr>
    </w:tbl>
    <w:p w14:paraId="612E3D8A" w14:textId="45C02463" w:rsidR="003E7C8C" w:rsidRPr="003E7C8C" w:rsidRDefault="003E7C8C" w:rsidP="003E7C8C">
      <w:pPr>
        <w:pStyle w:val="NormalWeb"/>
        <w:rPr>
          <w:color w:val="0F9ED5" w:themeColor="accent4"/>
          <w:lang w:val="vi-VN"/>
        </w:rPr>
      </w:pPr>
      <w:r w:rsidRPr="003E7C8C">
        <w:rPr>
          <w:b/>
          <w:bCs/>
          <w:color w:val="0F9ED5" w:themeColor="accent4"/>
        </w:rPr>
        <w:t>Constant Long-Term Growth</w:t>
      </w:r>
      <w:r w:rsidR="004700CE">
        <w:rPr>
          <w:b/>
          <w:bCs/>
          <w:color w:val="0F9ED5" w:themeColor="accent4"/>
          <w:lang w:val="vi-VN"/>
        </w:rPr>
        <w:t xml:space="preserve"> (g ổn định)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9"/>
      </w:tblGrid>
      <w:tr w:rsidR="00502DB5" w14:paraId="13311552" w14:textId="77777777" w:rsidTr="00502DB5">
        <w:trPr>
          <w:trHeight w:val="1063"/>
        </w:trPr>
        <w:tc>
          <w:tcPr>
            <w:tcW w:w="8219" w:type="dxa"/>
          </w:tcPr>
          <w:p w14:paraId="400176A3" w14:textId="25751DD4" w:rsidR="00502DB5" w:rsidRDefault="00502DB5" w:rsidP="008C5451">
            <w:pPr>
              <w:pStyle w:val="NormalWeb"/>
              <w:rPr>
                <w:lang w:val="vi-VN"/>
              </w:rPr>
            </w:pPr>
            <w:r>
              <w:rPr>
                <w:b/>
                <w:bCs/>
                <w:color w:val="E97132" w:themeColor="accent2"/>
                <w:lang w:val="vi-VN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Div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Div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E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-g</m:t>
                        </m:r>
                      </m:den>
                    </m:f>
                  </m:e>
                </m:d>
              </m:oMath>
            </m:oMathPara>
          </w:p>
        </w:tc>
      </w:tr>
    </w:tbl>
    <w:p w14:paraId="1152F787" w14:textId="77777777" w:rsidR="00DF7D45" w:rsidRDefault="00DF7D45" w:rsidP="00DF7D45">
      <w:pPr>
        <w:pStyle w:val="NormalWeb"/>
        <w:rPr>
          <w:b/>
          <w:bCs/>
          <w:color w:val="0F9ED5" w:themeColor="accent4"/>
          <w:lang w:val="vi-VN"/>
        </w:rPr>
      </w:pPr>
      <w:r w:rsidRPr="00DF7D45">
        <w:rPr>
          <w:b/>
          <w:bCs/>
          <w:color w:val="0F9ED5" w:themeColor="accent4"/>
        </w:rPr>
        <w:t>Limitations of the Dividend-Discount Model</w:t>
      </w:r>
    </w:p>
    <w:p w14:paraId="01535F77" w14:textId="6D83C038" w:rsidR="00DF7D45" w:rsidRPr="00DF7D45" w:rsidRDefault="00DF7D45" w:rsidP="00DF7D45">
      <w:pPr>
        <w:pStyle w:val="NormalWeb"/>
        <w:numPr>
          <w:ilvl w:val="0"/>
          <w:numId w:val="24"/>
        </w:numPr>
        <w:rPr>
          <w:color w:val="0F9ED5" w:themeColor="accent4"/>
        </w:rPr>
      </w:pPr>
      <w:r w:rsidRPr="00DF7D45">
        <w:rPr>
          <w:b/>
          <w:bCs/>
        </w:rPr>
        <w:t>Uncertain Dividends</w:t>
      </w:r>
      <w:r w:rsidRPr="00DF7D45">
        <w:t>: Future dividends are hard to predict, especially for firms without stable dividend policies.</w:t>
      </w:r>
      <w:r>
        <w:rPr>
          <w:lang w:val="vi-VN"/>
        </w:rPr>
        <w:br/>
      </w:r>
    </w:p>
    <w:p w14:paraId="2E903666" w14:textId="16F322BB" w:rsidR="00DF7D45" w:rsidRPr="00DF7D45" w:rsidRDefault="00DF7D45" w:rsidP="00DF7D45">
      <w:pPr>
        <w:pStyle w:val="NormalWeb"/>
        <w:numPr>
          <w:ilvl w:val="0"/>
          <w:numId w:val="24"/>
        </w:numPr>
        <w:rPr>
          <w:color w:val="0F9ED5" w:themeColor="accent4"/>
        </w:rPr>
      </w:pPr>
      <w:r w:rsidRPr="00DF7D45">
        <w:rPr>
          <w:b/>
          <w:bCs/>
        </w:rPr>
        <w:t>Sensitive to Growth Rate</w:t>
      </w:r>
      <w:r w:rsidRPr="00DF7D45">
        <w:t xml:space="preserve">: Small changes in assumed growth </w:t>
      </w:r>
      <w:r w:rsidR="00CA0CDE">
        <w:rPr>
          <w:lang w:val="vi-VN"/>
        </w:rPr>
        <w:t>(g)</w:t>
      </w:r>
      <w:r w:rsidRPr="00DF7D45">
        <w:t xml:space="preserve"> can cause large changes in stock value.</w:t>
      </w:r>
      <w:r>
        <w:rPr>
          <w:lang w:val="vi-VN"/>
        </w:rPr>
        <w:br/>
      </w:r>
    </w:p>
    <w:p w14:paraId="13CF61B4" w14:textId="05F3314F" w:rsidR="00DF7D45" w:rsidRPr="00DF7D45" w:rsidRDefault="00DF7D45" w:rsidP="00DF7D45">
      <w:pPr>
        <w:pStyle w:val="NormalWeb"/>
        <w:numPr>
          <w:ilvl w:val="0"/>
          <w:numId w:val="24"/>
        </w:numPr>
        <w:rPr>
          <w:color w:val="0F9ED5" w:themeColor="accent4"/>
        </w:rPr>
      </w:pPr>
      <w:r w:rsidRPr="00DF7D45">
        <w:rPr>
          <w:b/>
          <w:bCs/>
        </w:rPr>
        <w:t>Managerial Discretion</w:t>
      </w:r>
      <w:r w:rsidR="00CA0CDE">
        <w:rPr>
          <w:b/>
          <w:bCs/>
          <w:lang w:val="vi-VN"/>
        </w:rPr>
        <w:t xml:space="preserve"> (</w:t>
      </w:r>
      <w:r w:rsidR="00CA0CDE" w:rsidRPr="00CA0CDE">
        <w:rPr>
          <w:b/>
          <w:bCs/>
          <w:lang w:val="vi-VN"/>
        </w:rPr>
        <w:t xml:space="preserve">Quyền quyết định của quản </w:t>
      </w:r>
      <w:r w:rsidR="00CA0CDE">
        <w:rPr>
          <w:b/>
          <w:bCs/>
          <w:lang w:val="vi-VN"/>
        </w:rPr>
        <w:t>lý)</w:t>
      </w:r>
      <w:r w:rsidRPr="00DF7D45">
        <w:t>: Earnings, payout ratios, and share counts depend on management decisions, which are hard to forecast.</w:t>
      </w:r>
    </w:p>
    <w:p w14:paraId="5CB736BD" w14:textId="5E2F5406" w:rsidR="008C5451" w:rsidRPr="0075649D" w:rsidRDefault="00484AF8" w:rsidP="00484AF8">
      <w:pPr>
        <w:pStyle w:val="NormalWeb"/>
        <w:numPr>
          <w:ilvl w:val="0"/>
          <w:numId w:val="21"/>
        </w:numPr>
        <w:rPr>
          <w:b/>
          <w:bCs/>
          <w:color w:val="FF0000"/>
          <w:lang w:val="vi-VN"/>
        </w:rPr>
      </w:pPr>
      <w:r w:rsidRPr="0075649D">
        <w:rPr>
          <w:b/>
          <w:bCs/>
          <w:color w:val="FF0000"/>
          <w:lang w:val="vi-VN"/>
        </w:rPr>
        <w:t>Total Payout and Free Cash Flow Valuation Models</w:t>
      </w:r>
    </w:p>
    <w:p w14:paraId="5D1CC794" w14:textId="77777777" w:rsidR="00A24AE5" w:rsidRDefault="00484AF8" w:rsidP="00A24AE5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484AF8">
        <w:rPr>
          <w:b/>
          <w:bCs/>
          <w:color w:val="0F9ED5" w:themeColor="accent4"/>
        </w:rPr>
        <w:t>Share Repurchase:</w:t>
      </w:r>
    </w:p>
    <w:p w14:paraId="4DB67729" w14:textId="6C0631DD" w:rsidR="00A24AE5" w:rsidRDefault="00A24AE5" w:rsidP="00A24AE5">
      <w:pPr>
        <w:pStyle w:val="NormalWeb"/>
        <w:numPr>
          <w:ilvl w:val="0"/>
          <w:numId w:val="24"/>
        </w:numPr>
        <w:rPr>
          <w:b/>
          <w:bCs/>
          <w:color w:val="0F9ED5" w:themeColor="accent4"/>
          <w:lang w:val="vi-VN"/>
        </w:rPr>
      </w:pPr>
      <w:r w:rsidRPr="00A24AE5">
        <w:t xml:space="preserve">When a firm uses excess cash to </w:t>
      </w:r>
      <w:r w:rsidRPr="00A24AE5">
        <w:rPr>
          <w:b/>
          <w:bCs/>
        </w:rPr>
        <w:t>buy back its own shares</w:t>
      </w:r>
      <w:r w:rsidRPr="00A24AE5">
        <w:t>.</w:t>
      </w:r>
      <w:r>
        <w:rPr>
          <w:lang w:val="vi-VN"/>
        </w:rPr>
        <w:br/>
      </w:r>
    </w:p>
    <w:p w14:paraId="596CF47A" w14:textId="77777777" w:rsidR="00A24AE5" w:rsidRDefault="00A24AE5" w:rsidP="00A24AE5">
      <w:pPr>
        <w:pStyle w:val="NormalWeb"/>
        <w:numPr>
          <w:ilvl w:val="0"/>
          <w:numId w:val="24"/>
        </w:numPr>
        <w:rPr>
          <w:b/>
          <w:bCs/>
          <w:color w:val="0F9ED5" w:themeColor="accent4"/>
          <w:lang w:val="vi-VN"/>
        </w:rPr>
      </w:pPr>
      <w:r w:rsidRPr="00A24AE5">
        <w:rPr>
          <w:b/>
          <w:bCs/>
        </w:rPr>
        <w:t>Impacts on DDM:</w:t>
      </w:r>
    </w:p>
    <w:p w14:paraId="616CADA8" w14:textId="45221753" w:rsidR="00F702FD" w:rsidRPr="00F702FD" w:rsidRDefault="00F702FD" w:rsidP="000112F8">
      <w:pPr>
        <w:pStyle w:val="NormalWeb"/>
        <w:numPr>
          <w:ilvl w:val="0"/>
          <w:numId w:val="28"/>
        </w:numPr>
        <w:tabs>
          <w:tab w:val="left" w:pos="1080"/>
        </w:tabs>
        <w:ind w:left="1170"/>
        <w:rPr>
          <w:b/>
          <w:bCs/>
          <w:lang w:val="vi-VN"/>
        </w:rPr>
      </w:pPr>
      <w:r w:rsidRPr="00F702FD">
        <w:t>The more cash a firm uses to repurchase shares, the less it has available to pay dividends.</w:t>
      </w:r>
    </w:p>
    <w:p w14:paraId="599EA537" w14:textId="405CEA7E" w:rsidR="00F702FD" w:rsidRPr="00F702FD" w:rsidRDefault="00F702FD" w:rsidP="00F702FD">
      <w:pPr>
        <w:pStyle w:val="NormalWeb"/>
        <w:numPr>
          <w:ilvl w:val="0"/>
          <w:numId w:val="28"/>
        </w:numPr>
        <w:tabs>
          <w:tab w:val="left" w:pos="1080"/>
        </w:tabs>
        <w:ind w:left="1170"/>
        <w:rPr>
          <w:b/>
          <w:bCs/>
          <w:lang w:val="vi-VN"/>
        </w:rPr>
      </w:pPr>
      <w:r w:rsidRPr="00F702FD">
        <w:rPr>
          <w:lang w:val="vi-VN"/>
        </w:rPr>
        <w:t xml:space="preserve">By repurchasing shares, the firm </w:t>
      </w:r>
      <w:r w:rsidRPr="00F702FD">
        <w:rPr>
          <w:b/>
          <w:bCs/>
          <w:lang w:val="vi-VN"/>
        </w:rPr>
        <w:t>decreases its share count</w:t>
      </w:r>
      <w:r w:rsidRPr="00F702FD">
        <w:rPr>
          <w:lang w:val="vi-VN"/>
        </w:rPr>
        <w:t xml:space="preserve">, which </w:t>
      </w:r>
      <w:r w:rsidRPr="00F702FD">
        <w:rPr>
          <w:b/>
          <w:bCs/>
          <w:lang w:val="vi-VN"/>
        </w:rPr>
        <w:t>increases its earnings</w:t>
      </w:r>
      <w:r w:rsidRPr="00F702FD">
        <w:rPr>
          <w:lang w:val="vi-VN"/>
        </w:rPr>
        <w:t xml:space="preserve"> </w:t>
      </w:r>
      <w:r w:rsidRPr="00F702FD">
        <w:rPr>
          <w:b/>
          <w:bCs/>
          <w:lang w:val="vi-VN"/>
        </w:rPr>
        <w:t>and dividends on a per-share</w:t>
      </w:r>
      <w:r w:rsidRPr="00F702FD">
        <w:rPr>
          <w:lang w:val="vi-VN"/>
        </w:rPr>
        <w:t xml:space="preserve"> basis.</w:t>
      </w:r>
    </w:p>
    <w:p w14:paraId="4C449637" w14:textId="4E8EDC1A" w:rsidR="00F702FD" w:rsidRDefault="00F702FD" w:rsidP="00344122">
      <w:pPr>
        <w:pStyle w:val="NormalWeb"/>
        <w:tabs>
          <w:tab w:val="left" w:pos="1080"/>
        </w:tabs>
        <w:ind w:left="360"/>
        <w:rPr>
          <w:b/>
          <w:bCs/>
          <w:color w:val="0F9ED5" w:themeColor="accent4"/>
          <w:lang w:val="vi-VN"/>
        </w:rPr>
      </w:pPr>
      <w:r w:rsidRPr="00F702FD">
        <w:rPr>
          <w:b/>
          <w:bCs/>
          <w:color w:val="0F9ED5" w:themeColor="accent4"/>
          <w:lang w:val="vi-VN"/>
        </w:rPr>
        <w:lastRenderedPageBreak/>
        <w:t>Total Payout Model</w:t>
      </w:r>
    </w:p>
    <w:p w14:paraId="11407819" w14:textId="49697CB7" w:rsidR="00344122" w:rsidRDefault="00344122" w:rsidP="00344122">
      <w:pPr>
        <w:pStyle w:val="NormalWeb"/>
        <w:numPr>
          <w:ilvl w:val="0"/>
          <w:numId w:val="24"/>
        </w:numPr>
        <w:tabs>
          <w:tab w:val="left" w:pos="1080"/>
        </w:tabs>
        <w:rPr>
          <w:lang w:val="vi-VN"/>
        </w:rPr>
      </w:pPr>
      <w:r>
        <w:rPr>
          <w:lang w:val="vi-VN"/>
        </w:rPr>
        <w:t>V</w:t>
      </w:r>
      <w:r w:rsidRPr="00344122">
        <w:rPr>
          <w:lang w:val="vi-VN"/>
        </w:rPr>
        <w:t>alues the</w:t>
      </w:r>
      <w:r w:rsidR="00F120CB">
        <w:rPr>
          <w:lang w:val="vi-VN"/>
        </w:rPr>
        <w:t xml:space="preserve"> entire</w:t>
      </w:r>
      <w:r w:rsidRPr="00344122">
        <w:rPr>
          <w:lang w:val="vi-VN"/>
        </w:rPr>
        <w:t xml:space="preserve"> equity of the firm rather than a single share</w:t>
      </w:r>
    </w:p>
    <w:p w14:paraId="7A6BD1BE" w14:textId="5EC3120C" w:rsidR="00F120CB" w:rsidRDefault="00F120CB" w:rsidP="00344122">
      <w:pPr>
        <w:pStyle w:val="NormalWeb"/>
        <w:numPr>
          <w:ilvl w:val="0"/>
          <w:numId w:val="24"/>
        </w:numPr>
        <w:tabs>
          <w:tab w:val="left" w:pos="1080"/>
        </w:tabs>
        <w:rPr>
          <w:lang w:val="vi-VN"/>
        </w:rPr>
      </w:pPr>
      <w:r w:rsidRPr="00F120CB">
        <w:t xml:space="preserve">Takes into account </w:t>
      </w:r>
      <w:r w:rsidRPr="00F120CB">
        <w:rPr>
          <w:b/>
          <w:bCs/>
        </w:rPr>
        <w:t>both dividends and share repurchases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29"/>
      </w:tblGrid>
      <w:tr w:rsidR="00243003" w14:paraId="4A293573" w14:textId="77777777" w:rsidTr="00263733">
        <w:trPr>
          <w:trHeight w:val="240"/>
        </w:trPr>
        <w:tc>
          <w:tcPr>
            <w:tcW w:w="7029" w:type="dxa"/>
          </w:tcPr>
          <w:p w14:paraId="128D19F3" w14:textId="0B98B4FD" w:rsidR="00263733" w:rsidRPr="00263733" w:rsidRDefault="00263733" w:rsidP="00243003">
            <w:pPr>
              <w:pStyle w:val="NormalWeb"/>
              <w:tabs>
                <w:tab w:val="left" w:pos="1080"/>
              </w:tabs>
              <w:rPr>
                <w:b/>
                <w:bCs/>
                <w:color w:val="E97132" w:themeColor="accent2"/>
                <w:lang w:val="vi-VN"/>
              </w:rPr>
            </w:pPr>
            <w:r>
              <w:rPr>
                <w:b/>
                <w:bCs/>
                <w:color w:val="E97132" w:themeColor="accent2"/>
                <w:lang w:val="vi-VN"/>
              </w:rPr>
              <w:br/>
            </w:r>
            <w:r w:rsidR="00243003" w:rsidRPr="00243003">
              <w:rPr>
                <w:b/>
                <w:bCs/>
                <w:color w:val="E97132" w:themeColor="accent2"/>
              </w:rPr>
              <w:t>Total Firm Value</w:t>
            </w:r>
            <w:r w:rsidR="00243003" w:rsidRPr="00243003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w:r w:rsidR="00243003" w:rsidRPr="00243003">
              <w:rPr>
                <w:b/>
                <w:bCs/>
                <w:color w:val="E97132" w:themeColor="accent2"/>
              </w:rPr>
              <w:t>=</w:t>
            </w:r>
            <w:r w:rsidR="00243003" w:rsidRPr="00243003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w:r w:rsidR="00243003" w:rsidRPr="00243003">
              <w:rPr>
                <w:b/>
                <w:bCs/>
                <w:color w:val="E97132" w:themeColor="accent2"/>
              </w:rPr>
              <w:t>PV(Future Total Dividends and Repurchases)</w:t>
            </w:r>
            <w:r>
              <w:rPr>
                <w:b/>
                <w:bCs/>
                <w:color w:val="E97132" w:themeColor="accent2"/>
                <w:lang w:val="vi-VN"/>
              </w:rPr>
              <w:br/>
            </w:r>
          </w:p>
        </w:tc>
      </w:tr>
      <w:tr w:rsidR="00263733" w14:paraId="647B966A" w14:textId="77777777" w:rsidTr="00263733">
        <w:trPr>
          <w:trHeight w:val="240"/>
        </w:trPr>
        <w:tc>
          <w:tcPr>
            <w:tcW w:w="7029" w:type="dxa"/>
          </w:tcPr>
          <w:p w14:paraId="715BA952" w14:textId="216446F4" w:rsidR="00263733" w:rsidRPr="00243003" w:rsidRDefault="00263733" w:rsidP="00243003">
            <w:pPr>
              <w:pStyle w:val="NormalWeb"/>
              <w:tabs>
                <w:tab w:val="left" w:pos="1080"/>
              </w:tabs>
              <w:rPr>
                <w:b/>
                <w:bCs/>
                <w:color w:val="E97132" w:themeColor="accent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E97132" w:themeColor="accent2"/>
                <w:lang w:val="vi-VN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 xml:space="preserve">PV(Total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value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Shares outstanding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Theme="minorHAnsi" w:eastAsiaTheme="minorEastAsia" w:hAnsiTheme="minorHAnsi" w:cstheme="minorBidi"/>
                    <w:b/>
                    <w:bCs/>
                    <w:color w:val="E97132" w:themeColor="accent2"/>
                    <w:lang w:val="vi-VN"/>
                  </w:rPr>
                  <w:br/>
                </m:r>
              </m:oMath>
            </m:oMathPara>
          </w:p>
        </w:tc>
      </w:tr>
      <w:tr w:rsidR="00280AEE" w14:paraId="458107AA" w14:textId="77777777" w:rsidTr="00263733">
        <w:trPr>
          <w:trHeight w:val="240"/>
        </w:trPr>
        <w:tc>
          <w:tcPr>
            <w:tcW w:w="7029" w:type="dxa"/>
          </w:tcPr>
          <w:p w14:paraId="4A7A00E4" w14:textId="2AD1ECC6" w:rsidR="00280AEE" w:rsidRDefault="00280AEE" w:rsidP="00243003">
            <w:pPr>
              <w:pStyle w:val="NormalWeb"/>
              <w:tabs>
                <w:tab w:val="left" w:pos="1080"/>
              </w:tabs>
              <w:rPr>
                <w:rFonts w:asciiTheme="minorHAnsi" w:eastAsiaTheme="minorEastAsia" w:hAnsiTheme="minorHAnsi" w:cstheme="minorBidi"/>
                <w:b/>
                <w:bCs/>
                <w:color w:val="E97132" w:themeColor="accent2"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Total value=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 xml:space="preserve">Total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payout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-g</m:t>
                    </m:r>
                  </m:den>
                </m:f>
              </m:oMath>
            </m:oMathPara>
          </w:p>
        </w:tc>
      </w:tr>
    </w:tbl>
    <w:p w14:paraId="4347BA8A" w14:textId="418764F1" w:rsidR="008F7F0E" w:rsidRPr="008F7F0E" w:rsidRDefault="008F7F0E" w:rsidP="008F7F0E">
      <w:pPr>
        <w:pStyle w:val="NormalWeb"/>
        <w:numPr>
          <w:ilvl w:val="0"/>
          <w:numId w:val="26"/>
        </w:numPr>
      </w:pPr>
      <w:r w:rsidRPr="008F7F0E">
        <w:t>Discount total dividends and share r</w:t>
      </w:r>
      <w:r>
        <w:t>epurchases</w:t>
      </w:r>
      <w:r>
        <w:rPr>
          <w:lang w:val="vi-VN"/>
        </w:rPr>
        <w:t xml:space="preserve">; </w:t>
      </w:r>
      <w:r w:rsidRPr="008F7F0E">
        <w:t xml:space="preserve">use the growth rate of total earnings (rather than </w:t>
      </w:r>
      <w:r>
        <w:t>EPS</w:t>
      </w:r>
      <w:r w:rsidRPr="008F7F0E">
        <w:t>) when forecasting the growth of the firm's total payouts.</w:t>
      </w:r>
    </w:p>
    <w:p w14:paraId="224614E8" w14:textId="77777777" w:rsidR="00F05638" w:rsidRDefault="00772E1C" w:rsidP="00772E1C">
      <w:pPr>
        <w:pStyle w:val="NormalWeb"/>
        <w:numPr>
          <w:ilvl w:val="0"/>
          <w:numId w:val="21"/>
        </w:numPr>
        <w:rPr>
          <w:b/>
          <w:bCs/>
          <w:color w:val="FF0000"/>
          <w:lang w:val="vi-VN"/>
        </w:rPr>
      </w:pPr>
      <w:r w:rsidRPr="00772E1C">
        <w:rPr>
          <w:b/>
          <w:bCs/>
          <w:color w:val="FF0000"/>
          <w:lang w:val="vi-VN"/>
        </w:rPr>
        <w:t>The Discounted Free Cash Flow Model</w:t>
      </w:r>
      <w:r>
        <w:rPr>
          <w:b/>
          <w:bCs/>
          <w:color w:val="FF0000"/>
          <w:lang w:val="vi-VN"/>
        </w:rPr>
        <w:t xml:space="preserve"> (DCF)</w:t>
      </w:r>
    </w:p>
    <w:p w14:paraId="4CC3236B" w14:textId="4F160F7C" w:rsidR="00F05638" w:rsidRDefault="0098444E" w:rsidP="0098444E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DA0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>Estimate the Enterprise Value</w:t>
      </w:r>
      <w:r w:rsidRPr="0098444E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of a firm by discounting its expected future Free Cash Flows (FCF) available to all capital providers (equity + debt holders).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5"/>
      </w:tblGrid>
      <w:tr w:rsidR="00DA0A37" w14:paraId="6A4DE57A" w14:textId="77777777" w:rsidTr="00DA0A37">
        <w:trPr>
          <w:trHeight w:val="365"/>
        </w:trPr>
        <w:tc>
          <w:tcPr>
            <w:tcW w:w="6195" w:type="dxa"/>
          </w:tcPr>
          <w:p w14:paraId="67B6C91A" w14:textId="5259D9E2" w:rsidR="00DA0A37" w:rsidRPr="00DA0A37" w:rsidRDefault="00DA0A37" w:rsidP="00DA0A37">
            <w:pPr>
              <w:rPr>
                <w:rFonts w:ascii="Times New Roman" w:eastAsia="Times New Roman" w:hAnsi="Times New Roman" w:cs="Times New Roman"/>
                <w:color w:val="E97132" w:themeColor="accent2"/>
                <w:kern w:val="0"/>
                <w:sz w:val="24"/>
                <w:szCs w:val="24"/>
                <w:lang w:val="vi-VN"/>
                <w14:ligatures w14:val="none"/>
              </w:rPr>
            </w:pPr>
            <w:r w:rsidRPr="00DA0A37">
              <w:rPr>
                <w:rFonts w:ascii="Times New Roman" w:eastAsia="Times New Roman" w:hAnsi="Times New Roman" w:cs="Times New Roman"/>
                <w:b/>
                <w:bCs/>
                <w:color w:val="E97132" w:themeColor="accent2"/>
                <w:kern w:val="0"/>
                <w:sz w:val="24"/>
                <w:szCs w:val="24"/>
                <w:lang w:val="vi-VN"/>
                <w14:ligatures w14:val="none"/>
              </w:rPr>
              <w:t>Enterprise Value</w:t>
            </w:r>
            <w:r w:rsidRPr="00DA0A37">
              <w:rPr>
                <w:rFonts w:ascii="Times New Roman" w:eastAsia="Times New Roman" w:hAnsi="Times New Roman" w:cs="Times New Roman"/>
                <w:color w:val="E97132" w:themeColor="accent2"/>
                <w:kern w:val="0"/>
                <w:sz w:val="24"/>
                <w:szCs w:val="24"/>
                <w:lang w:val="vi-VN"/>
                <w14:ligatures w14:val="none"/>
              </w:rPr>
              <w:t xml:space="preserve"> </w:t>
            </w:r>
            <w:r w:rsidR="00CE3E93">
              <w:rPr>
                <w:rFonts w:ascii="Times New Roman" w:eastAsia="Times New Roman" w:hAnsi="Times New Roman" w:cs="Times New Roman"/>
                <w:color w:val="E97132" w:themeColor="accent2"/>
                <w:kern w:val="0"/>
                <w:sz w:val="24"/>
                <w:szCs w:val="24"/>
                <w:lang w:val="vi-VN"/>
                <w14:ligatures w14:val="none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E97132" w:themeColor="accent2"/>
                      <w:kern w:val="0"/>
                      <w:sz w:val="24"/>
                      <w:szCs w:val="24"/>
                      <w:lang w:val="vi-VN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E97132" w:themeColor="accent2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E97132" w:themeColor="accent2"/>
                  <w:kern w:val="0"/>
                  <w:sz w:val="24"/>
                  <w:szCs w:val="24"/>
                  <w:lang w:val="vi-VN"/>
                  <w14:ligatures w14:val="none"/>
                </w:rPr>
                <m:t>)</m:t>
              </m:r>
            </m:oMath>
            <w:r w:rsidRPr="00DA0A37">
              <w:rPr>
                <w:rFonts w:ascii="Times New Roman" w:eastAsia="Times New Roman" w:hAnsi="Times New Roman" w:cs="Times New Roman"/>
                <w:color w:val="E97132" w:themeColor="accent2"/>
                <w:kern w:val="0"/>
                <w:sz w:val="24"/>
                <w:szCs w:val="24"/>
                <w:lang w:val="vi-VN"/>
                <w14:ligatures w14:val="none"/>
              </w:rPr>
              <w:t xml:space="preserve">= </w:t>
            </w:r>
            <w:r w:rsidRPr="00DA0A37">
              <w:rPr>
                <w:rFonts w:ascii="Times New Roman" w:eastAsia="Times New Roman" w:hAnsi="Times New Roman" w:cs="Times New Roman"/>
                <w:color w:val="E97132" w:themeColor="accent2"/>
                <w:kern w:val="0"/>
                <w:sz w:val="24"/>
                <w:szCs w:val="24"/>
                <w14:ligatures w14:val="none"/>
              </w:rPr>
              <w:t>Total value of the firm’s core operations</w:t>
            </w:r>
          </w:p>
        </w:tc>
      </w:tr>
    </w:tbl>
    <w:p w14:paraId="22FBC35C" w14:textId="09AD8D89" w:rsidR="007D2E7A" w:rsidRDefault="00772E1C" w:rsidP="00DA0A37">
      <w:pPr>
        <w:pStyle w:val="NormalWeb"/>
        <w:numPr>
          <w:ilvl w:val="0"/>
          <w:numId w:val="24"/>
        </w:numPr>
        <w:rPr>
          <w:b/>
          <w:bCs/>
          <w:color w:val="FF0000"/>
          <w:lang w:val="vi-VN"/>
        </w:rPr>
      </w:pPr>
      <w:r>
        <w:t>Suitable for firms that do not pay dividends or are growing.</w:t>
      </w:r>
      <w:r w:rsidR="007D2E7A">
        <w:rPr>
          <w:lang w:val="vi-VN"/>
        </w:rPr>
        <w:br/>
      </w:r>
    </w:p>
    <w:p w14:paraId="179538CF" w14:textId="48E942E9" w:rsidR="00F05638" w:rsidRPr="00DA0A37" w:rsidRDefault="007D2E7A" w:rsidP="007D2E7A">
      <w:pPr>
        <w:pStyle w:val="NormalWeb"/>
        <w:numPr>
          <w:ilvl w:val="0"/>
          <w:numId w:val="24"/>
        </w:numPr>
        <w:rPr>
          <w:b/>
          <w:bCs/>
          <w:color w:val="FF0000"/>
          <w:lang w:val="vi-VN"/>
        </w:rPr>
      </w:pPr>
      <w:r w:rsidRPr="007D2E7A">
        <w:rPr>
          <w:b/>
          <w:bCs/>
          <w:lang w:val="vi-VN"/>
        </w:rPr>
        <w:t>Market Capitalization:</w:t>
      </w:r>
      <w:r>
        <w:rPr>
          <w:lang w:val="vi-VN"/>
        </w:rPr>
        <w:t xml:space="preserve"> </w:t>
      </w:r>
      <w:r w:rsidRPr="007D2E7A">
        <w:rPr>
          <w:lang w:val="vi-VN"/>
        </w:rPr>
        <w:t>The market value of the firm's equity, or the value that remains after the firm has paid its debts.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64"/>
      </w:tblGrid>
      <w:tr w:rsidR="00DA0A37" w14:paraId="51EA7A85" w14:textId="77777777" w:rsidTr="00DA0A37">
        <w:trPr>
          <w:trHeight w:val="408"/>
        </w:trPr>
        <w:tc>
          <w:tcPr>
            <w:tcW w:w="6064" w:type="dxa"/>
          </w:tcPr>
          <w:p w14:paraId="6D2C273F" w14:textId="46FCE718" w:rsidR="00DA0A37" w:rsidRPr="00DA0A37" w:rsidRDefault="00DA0A37" w:rsidP="00DA0A37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w:r w:rsidRPr="00DA0A37">
              <w:rPr>
                <w:b/>
                <w:bCs/>
                <w:color w:val="E97132" w:themeColor="accent2"/>
              </w:rPr>
              <w:t>Market value of equity = share price × number of shares</w:t>
            </w:r>
          </w:p>
        </w:tc>
      </w:tr>
    </w:tbl>
    <w:p w14:paraId="4633E3ED" w14:textId="33CF3E00" w:rsidR="00DA0A37" w:rsidRPr="007D2E7A" w:rsidRDefault="00321B05" w:rsidP="00DA0A37">
      <w:pPr>
        <w:pStyle w:val="NormalWeb"/>
        <w:ind w:left="360"/>
        <w:rPr>
          <w:b/>
          <w:bCs/>
          <w:color w:val="FF0000"/>
          <w:lang w:val="vi-VN"/>
        </w:rPr>
      </w:pPr>
      <w:r w:rsidRPr="00321B05">
        <w:rPr>
          <w:b/>
          <w:bCs/>
          <w:color w:val="FF0000"/>
          <w:lang w:val="vi-VN"/>
        </w:rPr>
        <w:drawing>
          <wp:inline distT="0" distB="0" distL="0" distR="0" wp14:anchorId="308A683B" wp14:editId="47C8D0B2">
            <wp:extent cx="5825605" cy="1873405"/>
            <wp:effectExtent l="0" t="0" r="3810" b="0"/>
            <wp:docPr id="43537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7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087" cy="18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8A71" w14:textId="77777777" w:rsidR="007E22B3" w:rsidRDefault="007E22B3" w:rsidP="00772E1C">
      <w:pPr>
        <w:pStyle w:val="NormalWeb"/>
        <w:ind w:left="360"/>
        <w:rPr>
          <w:b/>
          <w:bCs/>
          <w:color w:val="0F9ED5" w:themeColor="accent4"/>
          <w:lang w:val="vi-VN"/>
        </w:rPr>
      </w:pPr>
    </w:p>
    <w:p w14:paraId="39C76763" w14:textId="697F6AA7" w:rsidR="00772E1C" w:rsidRDefault="007E22B3" w:rsidP="00772E1C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7E22B3">
        <w:rPr>
          <w:b/>
          <w:bCs/>
          <w:color w:val="0F9ED5" w:themeColor="accent4"/>
        </w:rPr>
        <w:lastRenderedPageBreak/>
        <w:t>DCF Valuation Process</w:t>
      </w:r>
    </w:p>
    <w:p w14:paraId="60A65E60" w14:textId="18A273FA" w:rsidR="007E22B3" w:rsidRDefault="007E22B3" w:rsidP="00825C15">
      <w:pPr>
        <w:pStyle w:val="NormalWeb"/>
        <w:numPr>
          <w:ilvl w:val="0"/>
          <w:numId w:val="24"/>
        </w:numPr>
        <w:rPr>
          <w:b/>
          <w:bCs/>
          <w:lang w:val="vi-VN"/>
        </w:rPr>
      </w:pPr>
      <w:r w:rsidRPr="007E22B3">
        <w:rPr>
          <w:b/>
          <w:bCs/>
        </w:rPr>
        <w:t xml:space="preserve"> Estimate Enterprise Value</w:t>
      </w:r>
    </w:p>
    <w:p w14:paraId="2C2D2EEC" w14:textId="048EF5FB" w:rsidR="007E22B3" w:rsidRPr="007E22B3" w:rsidRDefault="007E22B3" w:rsidP="007E22B3">
      <w:pPr>
        <w:pStyle w:val="NormalWeb"/>
        <w:ind w:left="360"/>
        <w:rPr>
          <w:b/>
          <w:bCs/>
          <w:color w:val="E97132" w:themeColor="accent2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E97132" w:themeColor="accent2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E97132" w:themeColor="accent2"/>
              <w:lang w:val="vi-VN"/>
            </w:rPr>
            <m:t>=PV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E97132" w:themeColor="accent2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FCF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FCF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FCF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, Terminal Value</m:t>
              </m:r>
            </m:e>
          </m:d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27"/>
      </w:tblGrid>
      <w:tr w:rsidR="007E22B3" w14:paraId="41B8C37E" w14:textId="77777777" w:rsidTr="007E22B3">
        <w:trPr>
          <w:trHeight w:val="1287"/>
        </w:trPr>
        <w:tc>
          <w:tcPr>
            <w:tcW w:w="4727" w:type="dxa"/>
          </w:tcPr>
          <w:p w14:paraId="68EF5C67" w14:textId="476A2469" w:rsidR="007E22B3" w:rsidRPr="007E22B3" w:rsidRDefault="007E22B3" w:rsidP="007E22B3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t=1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FCF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wacc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E97132" w:themeColor="accent2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97132" w:themeColor="accent2"/>
                                    <w:lang w:val="vi-VN"/>
                                  </w:rPr>
                                  <m:t>wacc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14:paraId="3FF0DDF1" w14:textId="0D7C705D" w:rsidR="007E22B3" w:rsidRDefault="003F5D3B" w:rsidP="007E22B3">
      <w:pPr>
        <w:pStyle w:val="NormalWeb"/>
        <w:ind w:left="360"/>
        <w:rPr>
          <w:lang w:val="vi-VN"/>
        </w:rPr>
      </w:pPr>
      <w:r w:rsidRPr="003F5D3B">
        <w:rPr>
          <w:lang w:val="vi-V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lang w:val="vi-VN"/>
              </w:rPr>
              <m:t>wacc</m:t>
            </m:r>
          </m:sub>
        </m:sSub>
      </m:oMath>
      <w:r w:rsidRPr="003F5D3B">
        <w:rPr>
          <w:lang w:val="vi-VN"/>
        </w:rPr>
        <w:t xml:space="preserve"> is the Weighted Average Cost of Capital</w:t>
      </w:r>
    </w:p>
    <w:p w14:paraId="56BDFCA3" w14:textId="37ADEA88" w:rsidR="00C42BB8" w:rsidRDefault="00C42BB8" w:rsidP="007E22B3">
      <w:pPr>
        <w:pStyle w:val="NormalWeb"/>
        <w:ind w:left="360"/>
        <w:rPr>
          <w:lang w:val="vi-VN"/>
        </w:rPr>
      </w:pPr>
      <w:r w:rsidRPr="00C42BB8">
        <w:rPr>
          <w:lang w:val="vi-VN"/>
        </w:rPr>
        <w:drawing>
          <wp:inline distT="0" distB="0" distL="0" distR="0" wp14:anchorId="260B2D96" wp14:editId="3142A078">
            <wp:extent cx="4523874" cy="1668904"/>
            <wp:effectExtent l="0" t="0" r="0" b="7620"/>
            <wp:docPr id="205771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6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129" cy="16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4B80" w14:textId="62C0A407" w:rsidR="00C42BB8" w:rsidRDefault="00C42BB8" w:rsidP="00C42BB8">
      <w:pPr>
        <w:pStyle w:val="NormalWeb"/>
        <w:numPr>
          <w:ilvl w:val="0"/>
          <w:numId w:val="24"/>
        </w:numPr>
        <w:rPr>
          <w:b/>
          <w:bCs/>
          <w:lang w:val="vi-VN"/>
        </w:rPr>
      </w:pPr>
      <w:r w:rsidRPr="00C42BB8">
        <w:rPr>
          <w:b/>
          <w:bCs/>
        </w:rPr>
        <w:t>Estimate Terminal Value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21"/>
      </w:tblGrid>
      <w:tr w:rsidR="00C42BB8" w14:paraId="646D98A0" w14:textId="77777777" w:rsidTr="00C42BB8">
        <w:trPr>
          <w:trHeight w:val="738"/>
        </w:trPr>
        <w:tc>
          <w:tcPr>
            <w:tcW w:w="5821" w:type="dxa"/>
          </w:tcPr>
          <w:p w14:paraId="59C13726" w14:textId="07A5391E" w:rsidR="00C42BB8" w:rsidRPr="00C42BB8" w:rsidRDefault="00C42BB8" w:rsidP="00C42BB8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FCF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wacc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FCF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FCF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wacc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FCF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FCF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6CB3231D" w14:textId="7DB721B1" w:rsidR="00C42BB8" w:rsidRDefault="00C42BB8" w:rsidP="00C42BB8">
      <w:pPr>
        <w:pStyle w:val="NormalWeb"/>
        <w:ind w:left="360"/>
        <w:rPr>
          <w:lang w:val="vi-VN"/>
        </w:rPr>
      </w:pPr>
      <w:r w:rsidRPr="00C42BB8">
        <w:rPr>
          <w:lang w:val="vi-V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g</m:t>
            </m:r>
          </m:e>
          <m:sub>
            <m:r>
              <w:rPr>
                <w:rFonts w:ascii="Cambria Math" w:hAnsi="Cambria Math"/>
                <w:lang w:val="vi-VN"/>
              </w:rPr>
              <m:t>FCF</m:t>
            </m:r>
          </m:sub>
        </m:sSub>
      </m:oMath>
      <w:r w:rsidRPr="00C42BB8">
        <w:rPr>
          <w:lang w:val="vi-VN"/>
        </w:rPr>
        <w:t xml:space="preserve"> is long – run growth rate of FCF</w:t>
      </w:r>
    </w:p>
    <w:p w14:paraId="07E273F2" w14:textId="37A41438" w:rsidR="00825C15" w:rsidRDefault="00825C15" w:rsidP="00825C15">
      <w:pPr>
        <w:pStyle w:val="NormalWeb"/>
        <w:numPr>
          <w:ilvl w:val="0"/>
          <w:numId w:val="24"/>
        </w:numPr>
        <w:rPr>
          <w:b/>
          <w:bCs/>
          <w:lang w:val="vi-VN"/>
        </w:rPr>
      </w:pPr>
      <w:r w:rsidRPr="00825C15">
        <w:rPr>
          <w:b/>
          <w:bCs/>
        </w:rPr>
        <w:t>Calculate Equity Value &amp; Share Price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97"/>
      </w:tblGrid>
      <w:tr w:rsidR="00311F1A" w14:paraId="1E5A2F87" w14:textId="77777777" w:rsidTr="00E359B6">
        <w:trPr>
          <w:trHeight w:val="549"/>
        </w:trPr>
        <w:tc>
          <w:tcPr>
            <w:tcW w:w="4397" w:type="dxa"/>
          </w:tcPr>
          <w:p w14:paraId="09F530B4" w14:textId="6DE2508D" w:rsidR="00311F1A" w:rsidRPr="00311F1A" w:rsidRDefault="00311F1A" w:rsidP="00311F1A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w:r w:rsidRPr="00311F1A">
              <w:rPr>
                <w:b/>
                <w:bCs/>
                <w:color w:val="E97132" w:themeColor="accent2"/>
              </w:rPr>
              <w:t>Equity Value</w:t>
            </w:r>
            <w:r w:rsidRPr="00311F1A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w:r w:rsidRPr="00311F1A">
              <w:rPr>
                <w:b/>
                <w:bCs/>
                <w:color w:val="E97132" w:themeColor="accent2"/>
              </w:rPr>
              <w:t>=</w:t>
            </w:r>
            <w:r w:rsidRPr="00311F1A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0</m:t>
                  </m:r>
                </m:sub>
              </m:sSub>
            </m:oMath>
            <w:r w:rsidRPr="00311F1A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w:r w:rsidRPr="00311F1A">
              <w:rPr>
                <w:b/>
                <w:bCs/>
                <w:color w:val="E97132" w:themeColor="accent2"/>
              </w:rPr>
              <w:t>–</w:t>
            </w:r>
            <w:r w:rsidRPr="00311F1A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w:r w:rsidRPr="00311F1A">
              <w:rPr>
                <w:b/>
                <w:bCs/>
                <w:color w:val="E97132" w:themeColor="accent2"/>
              </w:rPr>
              <w:t>Debt</w:t>
            </w:r>
            <w:r w:rsidRPr="00311F1A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w:r w:rsidRPr="00311F1A">
              <w:rPr>
                <w:b/>
                <w:bCs/>
                <w:color w:val="E97132" w:themeColor="accent2"/>
              </w:rPr>
              <w:t>+</w:t>
            </w:r>
            <w:r w:rsidRPr="00311F1A">
              <w:rPr>
                <w:b/>
                <w:bCs/>
                <w:color w:val="E97132" w:themeColor="accent2"/>
                <w:lang w:val="vi-VN"/>
              </w:rPr>
              <w:t xml:space="preserve"> </w:t>
            </w:r>
            <w:r w:rsidRPr="00311F1A">
              <w:rPr>
                <w:b/>
                <w:bCs/>
                <w:color w:val="E97132" w:themeColor="accent2"/>
              </w:rPr>
              <w:t>Cash</w:t>
            </w:r>
          </w:p>
        </w:tc>
      </w:tr>
      <w:tr w:rsidR="002D0CED" w14:paraId="1CF2BC9B" w14:textId="77777777" w:rsidTr="00E359B6">
        <w:trPr>
          <w:trHeight w:val="549"/>
        </w:trPr>
        <w:tc>
          <w:tcPr>
            <w:tcW w:w="4397" w:type="dxa"/>
          </w:tcPr>
          <w:p w14:paraId="6EF3E05A" w14:textId="534D7E43" w:rsidR="002D0CED" w:rsidRPr="00311F1A" w:rsidRDefault="002D0CED" w:rsidP="00311F1A">
            <w:pPr>
              <w:pStyle w:val="NormalWeb"/>
              <w:rPr>
                <w:b/>
                <w:bCs/>
                <w:color w:val="E97132" w:themeColor="accent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Equity Value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Shares Outstanding</m:t>
                    </m:r>
                  </m:den>
                </m:f>
              </m:oMath>
            </m:oMathPara>
          </w:p>
        </w:tc>
      </w:tr>
    </w:tbl>
    <w:p w14:paraId="18CA7784" w14:textId="77777777" w:rsidR="00EF370C" w:rsidRDefault="00EF370C" w:rsidP="00EF370C">
      <w:pPr>
        <w:pStyle w:val="NormalWeb"/>
        <w:numPr>
          <w:ilvl w:val="0"/>
          <w:numId w:val="24"/>
        </w:numPr>
        <w:rPr>
          <w:b/>
          <w:bCs/>
          <w:lang w:val="vi-VN"/>
        </w:rPr>
      </w:pPr>
      <w:r w:rsidRPr="00EF370C">
        <w:rPr>
          <w:b/>
          <w:bCs/>
        </w:rPr>
        <w:t>Weighted Average Cost of Capital (WACC)</w:t>
      </w:r>
    </w:p>
    <w:p w14:paraId="4D038295" w14:textId="77777777" w:rsidR="00EF370C" w:rsidRDefault="00EF370C" w:rsidP="00EF370C">
      <w:pPr>
        <w:pStyle w:val="NormalWeb"/>
        <w:numPr>
          <w:ilvl w:val="0"/>
          <w:numId w:val="28"/>
        </w:numPr>
        <w:rPr>
          <w:b/>
          <w:bCs/>
          <w:lang w:val="vi-VN"/>
        </w:rPr>
      </w:pPr>
      <w:r>
        <w:t xml:space="preserve">The average return required by </w:t>
      </w:r>
      <w:r w:rsidRPr="00EF370C">
        <w:rPr>
          <w:rStyle w:val="Strong"/>
          <w:rFonts w:eastAsiaTheme="majorEastAsia"/>
        </w:rPr>
        <w:t>all investors</w:t>
      </w:r>
      <w:r>
        <w:t xml:space="preserve"> (debt + equity).</w:t>
      </w:r>
    </w:p>
    <w:p w14:paraId="72C5B9AF" w14:textId="2B7BBF5D" w:rsidR="00EF370C" w:rsidRDefault="00EF370C" w:rsidP="00EF370C">
      <w:pPr>
        <w:pStyle w:val="NormalWeb"/>
        <w:numPr>
          <w:ilvl w:val="0"/>
          <w:numId w:val="28"/>
        </w:numPr>
        <w:rPr>
          <w:b/>
          <w:bCs/>
          <w:lang w:val="vi-VN"/>
        </w:rPr>
      </w:pPr>
      <w:r>
        <w:t>If no debt →</w:t>
      </w:r>
      <w:r>
        <w:rPr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wacc</m:t>
            </m:r>
          </m:sub>
        </m:sSub>
        <m:r>
          <m:rPr>
            <m:sty m:val="bi"/>
          </m:rPr>
          <w:rPr>
            <w:rFonts w:ascii="Cambria Math" w:hAnsi="Cambria Math"/>
            <w:color w:val="E97132" w:themeColor="accent2"/>
            <w:lang w:val="vi-VN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e</m:t>
            </m:r>
          </m:sub>
        </m:sSub>
      </m:oMath>
    </w:p>
    <w:p w14:paraId="1ACC954F" w14:textId="738E8E30" w:rsidR="00EF370C" w:rsidRPr="00EF370C" w:rsidRDefault="00EF370C" w:rsidP="00EF370C">
      <w:pPr>
        <w:pStyle w:val="NormalWeb"/>
        <w:numPr>
          <w:ilvl w:val="0"/>
          <w:numId w:val="28"/>
        </w:numPr>
        <w:rPr>
          <w:b/>
          <w:bCs/>
          <w:lang w:val="vi-VN"/>
        </w:rPr>
      </w:pPr>
      <w:r>
        <w:t>If debt exists →</w:t>
      </w:r>
      <w:r>
        <w:rPr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wacc</m:t>
            </m:r>
          </m:sub>
        </m:sSub>
        <m:r>
          <m:rPr>
            <m:sty m:val="bi"/>
          </m:rPr>
          <w:rPr>
            <w:rFonts w:ascii="Cambria Math" w:hAnsi="Cambria Math"/>
            <w:color w:val="E97132" w:themeColor="accent2"/>
            <w:lang w:val="vi-VN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color w:val="E97132" w:themeColor="accent2"/>
            <w:lang w:val="vi-VN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color w:val="E97132" w:themeColor="accent2"/>
            <w:lang w:val="vi-VN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E97132" w:themeColor="accent2"/>
            <w:lang w:val="vi-VN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E97132" w:themeColor="accent2"/>
                <w:lang w:val="vi-VN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color w:val="E97132" w:themeColor="accent2"/>
            <w:lang w:val="vi-VN"/>
          </w:rPr>
          <m:t>*(1-tax)</m:t>
        </m:r>
      </m:oMath>
    </w:p>
    <w:p w14:paraId="03D36D16" w14:textId="00AB1A17" w:rsidR="00EF370C" w:rsidRDefault="00EF370C" w:rsidP="00EF370C">
      <w:pPr>
        <w:pStyle w:val="NormalWeb"/>
        <w:numPr>
          <w:ilvl w:val="0"/>
          <w:numId w:val="26"/>
        </w:numPr>
        <w:rPr>
          <w:b/>
          <w:bCs/>
          <w:lang w:val="vi-VN"/>
        </w:rPr>
      </w:pPr>
      <w:r w:rsidRPr="00EF370C">
        <w:rPr>
          <w:b/>
          <w:bCs/>
        </w:rPr>
        <w:t>WACC reflects the overall risk of the firm’s operations.</w:t>
      </w:r>
    </w:p>
    <w:p w14:paraId="73938BBA" w14:textId="79101931" w:rsidR="002F4E3C" w:rsidRPr="002F4E3C" w:rsidRDefault="00BD6C1F" w:rsidP="002F4E3C">
      <w:pPr>
        <w:pStyle w:val="NormalWeb"/>
        <w:numPr>
          <w:ilvl w:val="0"/>
          <w:numId w:val="21"/>
        </w:numPr>
        <w:rPr>
          <w:b/>
          <w:bCs/>
          <w:color w:val="FF0000"/>
          <w:lang w:val="vi-VN"/>
        </w:rPr>
      </w:pPr>
      <w:r w:rsidRPr="00BD6C1F">
        <w:rPr>
          <w:b/>
          <w:bCs/>
          <w:color w:val="FF0000"/>
          <w:lang w:val="vi-VN"/>
        </w:rPr>
        <w:lastRenderedPageBreak/>
        <w:t>Valuation Based on Comparable Firms</w:t>
      </w:r>
    </w:p>
    <w:p w14:paraId="758E4F40" w14:textId="50ED2287" w:rsidR="000A672E" w:rsidRDefault="000A672E" w:rsidP="004A1984">
      <w:pPr>
        <w:pStyle w:val="NormalWeb"/>
        <w:numPr>
          <w:ilvl w:val="0"/>
          <w:numId w:val="24"/>
        </w:numPr>
        <w:rPr>
          <w:lang w:val="vi-VN"/>
        </w:rPr>
      </w:pPr>
      <w:r w:rsidRPr="000A672E">
        <w:t>Valuation multiples are relative valuation tools that compare a firm’s market value to a financial metric (like earnings, revenue, or book value)</w:t>
      </w:r>
      <w:r w:rsidR="00973CF0">
        <w:rPr>
          <w:lang w:val="vi-VN"/>
        </w:rPr>
        <w:t>.</w:t>
      </w:r>
    </w:p>
    <w:p w14:paraId="5B744EC1" w14:textId="7F6207F1" w:rsidR="00973CF0" w:rsidRPr="00973CF0" w:rsidRDefault="00973CF0" w:rsidP="00973CF0">
      <w:pPr>
        <w:pStyle w:val="NormalWeb"/>
        <w:numPr>
          <w:ilvl w:val="0"/>
          <w:numId w:val="26"/>
        </w:numPr>
        <w:rPr>
          <w:color w:val="C00000"/>
          <w:lang w:val="vi-VN"/>
        </w:rPr>
      </w:pPr>
      <w:r w:rsidRPr="00973CF0">
        <w:rPr>
          <w:color w:val="C00000"/>
        </w:rPr>
        <w:t xml:space="preserve">Used to assess </w:t>
      </w:r>
      <w:r w:rsidRPr="00973CF0">
        <w:rPr>
          <w:b/>
          <w:bCs/>
          <w:color w:val="C00000"/>
        </w:rPr>
        <w:t>how expensive or cheap</w:t>
      </w:r>
      <w:r w:rsidRPr="00973CF0">
        <w:rPr>
          <w:color w:val="C00000"/>
        </w:rPr>
        <w:t xml:space="preserve"> a company is </w:t>
      </w:r>
      <w:r w:rsidRPr="00973CF0">
        <w:rPr>
          <w:b/>
          <w:bCs/>
          <w:color w:val="C00000"/>
        </w:rPr>
        <w:t>relative to peers or industry norms</w:t>
      </w:r>
      <w:r w:rsidRPr="00973CF0">
        <w:rPr>
          <w:color w:val="C00000"/>
        </w:rPr>
        <w:t>.</w:t>
      </w:r>
    </w:p>
    <w:p w14:paraId="777D7F1D" w14:textId="1AE43EA1" w:rsidR="00973CF0" w:rsidRPr="002F4E3C" w:rsidRDefault="004A1984" w:rsidP="00973CF0">
      <w:pPr>
        <w:pStyle w:val="NormalWeb"/>
        <w:numPr>
          <w:ilvl w:val="0"/>
          <w:numId w:val="24"/>
        </w:numPr>
        <w:rPr>
          <w:b/>
          <w:bCs/>
          <w:color w:val="FF0000"/>
          <w:lang w:val="vi-VN"/>
        </w:rPr>
      </w:pPr>
      <w:r>
        <w:t>Estimate value by comparing with similar companies.</w:t>
      </w:r>
      <w:r w:rsidR="002F4E3C">
        <w:rPr>
          <w:lang w:val="vi-VN"/>
        </w:rPr>
        <w:br/>
      </w:r>
    </w:p>
    <w:p w14:paraId="0E09AC25" w14:textId="79DD8E11" w:rsidR="002F4E3C" w:rsidRPr="00956FF1" w:rsidRDefault="002F4E3C" w:rsidP="00973CF0">
      <w:pPr>
        <w:pStyle w:val="NormalWeb"/>
        <w:numPr>
          <w:ilvl w:val="0"/>
          <w:numId w:val="24"/>
        </w:numPr>
        <w:rPr>
          <w:b/>
          <w:bCs/>
          <w:color w:val="4EA72E" w:themeColor="accent6"/>
          <w:lang w:val="vi-VN"/>
        </w:rPr>
      </w:pPr>
      <w:r w:rsidRPr="00956FF1">
        <w:rPr>
          <w:b/>
          <w:bCs/>
          <w:color w:val="4EA72E" w:themeColor="accent6"/>
        </w:rPr>
        <w:t>Types of P/E Ratios:</w:t>
      </w:r>
    </w:p>
    <w:p w14:paraId="4603D545" w14:textId="77777777" w:rsidR="002F4E3C" w:rsidRPr="00956FF1" w:rsidRDefault="002F4E3C" w:rsidP="002F4E3C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:lang w:val="vi-VN"/>
          <w14:ligatures w14:val="none"/>
        </w:rPr>
      </w:pPr>
      <w:r w:rsidRPr="00956FF1">
        <w:rPr>
          <w:rFonts w:ascii="Times New Roman" w:eastAsia="Times New Roman" w:hAnsi="Times New Roman" w:cs="Times New Roman"/>
          <w:color w:val="4EA72E" w:themeColor="accent6"/>
          <w:kern w:val="0"/>
          <w:sz w:val="24"/>
          <w:szCs w:val="24"/>
          <w:lang w:val="vi-VN"/>
          <w14:ligatures w14:val="none"/>
        </w:rPr>
        <w:t>Trailing P/E: Uses historical earnings (last 12 months).</w:t>
      </w:r>
    </w:p>
    <w:p w14:paraId="50FE9D78" w14:textId="26546648" w:rsidR="002F4E3C" w:rsidRPr="00956FF1" w:rsidRDefault="002F4E3C" w:rsidP="002F4E3C">
      <w:pPr>
        <w:pStyle w:val="NormalWeb"/>
        <w:numPr>
          <w:ilvl w:val="0"/>
          <w:numId w:val="28"/>
        </w:numPr>
        <w:rPr>
          <w:color w:val="4EA72E" w:themeColor="accent6"/>
          <w:lang w:val="vi-VN"/>
        </w:rPr>
      </w:pPr>
      <w:r w:rsidRPr="00956FF1">
        <w:rPr>
          <w:color w:val="4EA72E" w:themeColor="accent6"/>
        </w:rPr>
        <w:t>Forward P/E: Uses expected future earnings (next 12 months).</w:t>
      </w:r>
    </w:p>
    <w:p w14:paraId="4AC00F59" w14:textId="60EFDFCE" w:rsidR="00973CF0" w:rsidRPr="00973CF0" w:rsidRDefault="00973CF0" w:rsidP="00973CF0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973CF0">
        <w:rPr>
          <w:b/>
          <w:bCs/>
          <w:color w:val="0F9ED5" w:themeColor="accent4"/>
        </w:rPr>
        <w:t>Price-Earnings (P/E) Ratio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53"/>
      </w:tblGrid>
      <w:tr w:rsidR="00973CF0" w14:paraId="6110B24C" w14:textId="77777777" w:rsidTr="00973CF0">
        <w:trPr>
          <w:trHeight w:val="703"/>
        </w:trPr>
        <w:tc>
          <w:tcPr>
            <w:tcW w:w="3953" w:type="dxa"/>
          </w:tcPr>
          <w:p w14:paraId="4BC509AB" w14:textId="60FE811E" w:rsidR="00973CF0" w:rsidRPr="00973CF0" w:rsidRDefault="00973CF0" w:rsidP="004A1984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w:r>
              <w:rPr>
                <w:b/>
                <w:bCs/>
                <w:color w:val="E97132" w:themeColor="accent2"/>
                <w:lang w:val="vi-VN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P/E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Ratio=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Price per share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EPS</m:t>
                    </m:r>
                  </m:den>
                </m:f>
                <m:r>
                  <w:rPr>
                    <w:b/>
                    <w:bCs/>
                    <w:color w:val="E97132" w:themeColor="accent2"/>
                    <w:lang w:val="vi-VN"/>
                  </w:rPr>
                  <w:br/>
                </m:r>
              </m:oMath>
            </m:oMathPara>
          </w:p>
        </w:tc>
      </w:tr>
    </w:tbl>
    <w:p w14:paraId="05B178F4" w14:textId="499F4EDA" w:rsidR="00973CF0" w:rsidRDefault="00973CF0" w:rsidP="00973CF0">
      <w:pPr>
        <w:pStyle w:val="NormalWeb"/>
        <w:numPr>
          <w:ilvl w:val="0"/>
          <w:numId w:val="28"/>
        </w:numPr>
        <w:rPr>
          <w:lang w:val="vi-VN"/>
        </w:rPr>
      </w:pPr>
      <w:r w:rsidRPr="00973CF0">
        <w:rPr>
          <w:lang w:val="vi-VN"/>
        </w:rPr>
        <w:t>Measures: How much investors are willing to pay for $1 of earnings.</w:t>
      </w:r>
      <w:r>
        <w:rPr>
          <w:lang w:val="vi-VN"/>
        </w:rPr>
        <w:br/>
      </w:r>
    </w:p>
    <w:p w14:paraId="6C7B19F2" w14:textId="7FA0D76F" w:rsidR="00973CF0" w:rsidRDefault="00973CF0" w:rsidP="00973CF0">
      <w:pPr>
        <w:pStyle w:val="NormalWeb"/>
        <w:numPr>
          <w:ilvl w:val="0"/>
          <w:numId w:val="28"/>
        </w:numPr>
        <w:rPr>
          <w:lang w:val="vi-VN"/>
        </w:rPr>
      </w:pPr>
      <w:r w:rsidRPr="00973CF0">
        <w:rPr>
          <w:lang w:val="vi-VN"/>
        </w:rPr>
        <w:t xml:space="preserve">High P/E → market expects high future </w:t>
      </w:r>
      <w:r>
        <w:rPr>
          <w:lang w:val="vi-VN"/>
        </w:rPr>
        <w:t>growth.</w:t>
      </w:r>
      <w:r>
        <w:rPr>
          <w:lang w:val="vi-VN"/>
        </w:rPr>
        <w:br/>
      </w:r>
    </w:p>
    <w:p w14:paraId="1786C8DE" w14:textId="2FE12CA9" w:rsidR="004A1984" w:rsidRDefault="00973CF0" w:rsidP="00973CF0">
      <w:pPr>
        <w:pStyle w:val="NormalWeb"/>
        <w:numPr>
          <w:ilvl w:val="0"/>
          <w:numId w:val="28"/>
        </w:numPr>
        <w:rPr>
          <w:lang w:val="vi-VN"/>
        </w:rPr>
      </w:pPr>
      <w:r w:rsidRPr="00973CF0">
        <w:rPr>
          <w:lang w:val="vi-VN"/>
        </w:rPr>
        <w:t>Low P/E → could mean undervaluation or weak growth prospects.</w:t>
      </w:r>
    </w:p>
    <w:p w14:paraId="43BE5DD7" w14:textId="01907448" w:rsidR="00957A1F" w:rsidRPr="00690DE7" w:rsidRDefault="00957A1F" w:rsidP="00957A1F">
      <w:pPr>
        <w:pStyle w:val="NormalWeb"/>
        <w:numPr>
          <w:ilvl w:val="0"/>
          <w:numId w:val="26"/>
        </w:numPr>
        <w:rPr>
          <w:color w:val="C00000"/>
        </w:rPr>
      </w:pPr>
      <w:r w:rsidRPr="00690DE7">
        <w:rPr>
          <w:rStyle w:val="Strong"/>
          <w:rFonts w:eastAsiaTheme="majorEastAsia"/>
          <w:color w:val="C00000"/>
        </w:rPr>
        <w:t>Use for</w:t>
      </w:r>
      <w:r w:rsidRPr="00690DE7">
        <w:rPr>
          <w:color w:val="C00000"/>
        </w:rPr>
        <w:t xml:space="preserve">: Comparing firms in the </w:t>
      </w:r>
      <w:r w:rsidRPr="00690DE7">
        <w:rPr>
          <w:rStyle w:val="Strong"/>
          <w:rFonts w:eastAsiaTheme="majorEastAsia"/>
          <w:color w:val="C00000"/>
        </w:rPr>
        <w:t>same industry</w:t>
      </w:r>
      <w:r w:rsidRPr="00690DE7">
        <w:rPr>
          <w:color w:val="C00000"/>
        </w:rPr>
        <w:t xml:space="preserve"> with similar accounting policies.</w:t>
      </w:r>
    </w:p>
    <w:p w14:paraId="19F38A60" w14:textId="75145A38" w:rsidR="00957A1F" w:rsidRDefault="00690DE7" w:rsidP="00690DE7">
      <w:pPr>
        <w:pStyle w:val="NormalWeb"/>
        <w:ind w:left="360"/>
        <w:rPr>
          <w:lang w:val="vi-VN"/>
        </w:rPr>
      </w:pPr>
      <w:r w:rsidRPr="00690DE7">
        <w:rPr>
          <w:lang w:val="vi-VN"/>
        </w:rPr>
        <w:drawing>
          <wp:inline distT="0" distB="0" distL="0" distR="0" wp14:anchorId="28D6149A" wp14:editId="2C107085">
            <wp:extent cx="3958876" cy="1472736"/>
            <wp:effectExtent l="0" t="0" r="3810" b="0"/>
            <wp:docPr id="18556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361" cy="14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E47" w14:textId="77777777" w:rsidR="00C57BDD" w:rsidRPr="00C57BDD" w:rsidRDefault="00C57BDD" w:rsidP="00C57BDD">
      <w:pPr>
        <w:pStyle w:val="NormalWeb"/>
        <w:ind w:left="360"/>
        <w:rPr>
          <w:color w:val="0F9ED5" w:themeColor="accent4"/>
        </w:rPr>
      </w:pPr>
      <w:r w:rsidRPr="00C57BDD">
        <w:rPr>
          <w:b/>
          <w:bCs/>
          <w:color w:val="0F9ED5" w:themeColor="accent4"/>
        </w:rPr>
        <w:t> Link to Dividend-Discount Model (DDM)</w:t>
      </w:r>
    </w:p>
    <w:p w14:paraId="31821D15" w14:textId="59E51DDA" w:rsidR="008B66AF" w:rsidRPr="00261FD4" w:rsidRDefault="00C57BDD" w:rsidP="00261FD4">
      <w:pPr>
        <w:pStyle w:val="NormalWeb"/>
        <w:numPr>
          <w:ilvl w:val="0"/>
          <w:numId w:val="24"/>
        </w:numPr>
        <w:rPr>
          <w:lang w:val="vi-VN"/>
        </w:rPr>
      </w:pPr>
      <w:r w:rsidRPr="00C57BDD">
        <w:t>The forward P/E is derived from the DDM, assuming constant growth (g)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33"/>
      </w:tblGrid>
      <w:tr w:rsidR="00A15E80" w14:paraId="75CB27ED" w14:textId="77777777" w:rsidTr="00956FF1">
        <w:trPr>
          <w:trHeight w:val="1345"/>
        </w:trPr>
        <w:tc>
          <w:tcPr>
            <w:tcW w:w="5733" w:type="dxa"/>
          </w:tcPr>
          <w:p w14:paraId="2FAFEAD3" w14:textId="77777777" w:rsidR="00E700B1" w:rsidRPr="00E700B1" w:rsidRDefault="00956FF1" w:rsidP="008924F2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w:r>
              <w:rPr>
                <w:b/>
                <w:bCs/>
                <w:color w:val="E97132" w:themeColor="accent2"/>
                <w:lang w:val="vi-VN"/>
              </w:rPr>
              <w:lastRenderedPageBreak/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Forward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 xml:space="preserve"> P/E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EPS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Dividend Payout Ratio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-g</m:t>
                    </m:r>
                  </m:den>
                </m:f>
              </m:oMath>
            </m:oMathPara>
          </w:p>
          <w:p w14:paraId="1F720F8C" w14:textId="023A2BF5" w:rsidR="00A15E80" w:rsidRPr="008924F2" w:rsidRDefault="00E700B1" w:rsidP="00E700B1">
            <w:pPr>
              <w:pStyle w:val="NormalWeb"/>
              <w:numPr>
                <w:ilvl w:val="0"/>
                <w:numId w:val="26"/>
              </w:numPr>
              <w:rPr>
                <w:b/>
                <w:bCs/>
                <w:color w:val="E97132" w:themeColor="accent2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E97132" w:themeColor="accent2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97132" w:themeColor="accent2"/>
                      <w:lang w:val="vi-VN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 xml:space="preserve">= </m:t>
              </m:r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P/E</m:t>
              </m:r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 xml:space="preserve">* </m:t>
              </m:r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m:t>EPS</m:t>
              </m:r>
              <m:r>
                <m:rPr>
                  <m:sty m:val="bi"/>
                </m:rPr>
                <w:rPr>
                  <w:rFonts w:ascii="Cambria Math" w:hAnsi="Cambria Math"/>
                  <w:color w:val="E97132" w:themeColor="accent2"/>
                  <w:lang w:val="vi-VN"/>
                </w:rPr>
                <w:br/>
              </m:r>
            </m:oMath>
          </w:p>
        </w:tc>
      </w:tr>
    </w:tbl>
    <w:p w14:paraId="0E4A6A71" w14:textId="15C93D0A" w:rsidR="00A15E80" w:rsidRDefault="00D54471" w:rsidP="00D54471">
      <w:pPr>
        <w:pStyle w:val="NormalWeb"/>
        <w:numPr>
          <w:ilvl w:val="0"/>
          <w:numId w:val="24"/>
        </w:numPr>
        <w:rPr>
          <w:lang w:val="vi-VN"/>
        </w:rPr>
      </w:pPr>
      <w:r w:rsidRPr="00D54471">
        <w:t>Dividend Payout Ratio:</w:t>
      </w:r>
      <w:r>
        <w:rPr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E97132" w:themeColor="accent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E97132" w:themeColor="accent2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Div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E97132" w:themeColor="accent2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EPS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1</m:t>
                </m:r>
              </m:sub>
            </m:sSub>
          </m:den>
        </m:f>
      </m:oMath>
      <w:r>
        <w:rPr>
          <w:b/>
          <w:bCs/>
          <w:color w:val="E97132" w:themeColor="accent2"/>
          <w:lang w:val="vi-VN"/>
        </w:rPr>
        <w:t xml:space="preserve"> </w:t>
      </w:r>
      <w:r w:rsidRPr="00D54471">
        <w:t>(portion of earnings paid as dividends).</w:t>
      </w:r>
    </w:p>
    <w:p w14:paraId="03EA86E7" w14:textId="7EB56A8C" w:rsidR="00D54471" w:rsidRPr="00D54471" w:rsidRDefault="00D54471" w:rsidP="00D54471">
      <w:pPr>
        <w:pStyle w:val="NormalWeb"/>
        <w:numPr>
          <w:ilvl w:val="0"/>
          <w:numId w:val="24"/>
        </w:numPr>
        <w:rPr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r</m:t>
            </m:r>
          </m:e>
          <m:sub>
            <m:r>
              <w:rPr>
                <w:rFonts w:ascii="Cambria Math" w:hAnsi="Cambria Math"/>
                <w:lang w:val="vi-VN"/>
              </w:rPr>
              <m:t>e</m:t>
            </m:r>
          </m:sub>
        </m:sSub>
      </m:oMath>
      <w:r w:rsidRPr="00D54471">
        <w:rPr>
          <w:lang w:val="vi-VN"/>
        </w:rPr>
        <w:t xml:space="preserve">: </w:t>
      </w:r>
      <w:r w:rsidRPr="00D54471">
        <w:t>Cost of equity (required return).</w:t>
      </w:r>
    </w:p>
    <w:p w14:paraId="7C40FE5A" w14:textId="0594C6F5" w:rsidR="00D54471" w:rsidRDefault="00D54471" w:rsidP="00D54471">
      <w:pPr>
        <w:pStyle w:val="NormalWeb"/>
        <w:numPr>
          <w:ilvl w:val="0"/>
          <w:numId w:val="24"/>
        </w:numPr>
        <w:rPr>
          <w:lang w:val="vi-VN"/>
        </w:rPr>
      </w:pPr>
      <m:oMath>
        <m:r>
          <w:rPr>
            <w:rFonts w:ascii="Cambria Math" w:hAnsi="Cambria Math"/>
            <w:lang w:val="vi-VN"/>
          </w:rPr>
          <m:t>g</m:t>
        </m:r>
      </m:oMath>
      <w:r w:rsidRPr="00D54471">
        <w:rPr>
          <w:lang w:val="vi-VN"/>
        </w:rPr>
        <w:t xml:space="preserve">: </w:t>
      </w:r>
      <w:r w:rsidRPr="00D54471">
        <w:t>Expected growth rate of dividends/earnings.</w:t>
      </w:r>
    </w:p>
    <w:p w14:paraId="53567A3B" w14:textId="702C26AC" w:rsidR="0087034C" w:rsidRDefault="0087034C" w:rsidP="0087034C">
      <w:pPr>
        <w:pStyle w:val="NormalWeb"/>
        <w:ind w:left="360"/>
        <w:rPr>
          <w:lang w:val="vi-VN"/>
        </w:rPr>
      </w:pPr>
      <w:r w:rsidRPr="0087034C">
        <w:rPr>
          <w:lang w:val="vi-VN"/>
        </w:rPr>
        <w:drawing>
          <wp:inline distT="0" distB="0" distL="0" distR="0" wp14:anchorId="68D48D44" wp14:editId="7485E4E3">
            <wp:extent cx="3672544" cy="1962614"/>
            <wp:effectExtent l="0" t="0" r="4445" b="0"/>
            <wp:docPr id="12596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41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260" cy="19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2B07" w14:textId="77777777" w:rsidR="003F0882" w:rsidRDefault="003F0882" w:rsidP="003F0882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3F0882">
        <w:rPr>
          <w:b/>
          <w:bCs/>
          <w:color w:val="0F9ED5" w:themeColor="accent4"/>
        </w:rPr>
        <w:t>Key Valuation Multiples Discussed</w:t>
      </w:r>
    </w:p>
    <w:p w14:paraId="2A3E4711" w14:textId="5E8D02F9" w:rsidR="003F0882" w:rsidRPr="003F0882" w:rsidRDefault="003F0882" w:rsidP="003F0882">
      <w:pPr>
        <w:pStyle w:val="NormalWeb"/>
        <w:numPr>
          <w:ilvl w:val="0"/>
          <w:numId w:val="24"/>
        </w:numPr>
        <w:rPr>
          <w:b/>
          <w:bCs/>
          <w:color w:val="0F9ED5" w:themeColor="accent4"/>
        </w:rPr>
      </w:pPr>
      <w:r w:rsidRPr="003F0882">
        <w:rPr>
          <w:lang w:val="vi-VN"/>
        </w:rPr>
        <w:t>Multiple of sales: Compares a company's market value to its revenue</w:t>
      </w:r>
      <w:r>
        <w:rPr>
          <w:lang w:val="vi-VN"/>
        </w:rPr>
        <w:br/>
      </w:r>
    </w:p>
    <w:p w14:paraId="5A67E36F" w14:textId="62B7E8A4" w:rsidR="003F0882" w:rsidRPr="003F0882" w:rsidRDefault="003F0882" w:rsidP="003F0882">
      <w:pPr>
        <w:pStyle w:val="NormalWeb"/>
        <w:numPr>
          <w:ilvl w:val="0"/>
          <w:numId w:val="24"/>
        </w:numPr>
        <w:rPr>
          <w:b/>
          <w:bCs/>
          <w:color w:val="0F9ED5" w:themeColor="accent4"/>
        </w:rPr>
      </w:pPr>
      <w:r w:rsidRPr="003F0882">
        <w:rPr>
          <w:lang w:val="vi-VN"/>
        </w:rPr>
        <w:t>Price to book value: Compares market price per share to book value per share</w:t>
      </w:r>
      <w:r>
        <w:rPr>
          <w:lang w:val="vi-VN"/>
        </w:rPr>
        <w:br/>
      </w:r>
    </w:p>
    <w:p w14:paraId="63FE8AC2" w14:textId="646D9131" w:rsidR="003F0882" w:rsidRPr="004A09F7" w:rsidRDefault="003F0882" w:rsidP="003F0882">
      <w:pPr>
        <w:pStyle w:val="NormalWeb"/>
        <w:numPr>
          <w:ilvl w:val="0"/>
          <w:numId w:val="24"/>
        </w:numPr>
        <w:rPr>
          <w:b/>
          <w:bCs/>
          <w:color w:val="0F9ED5" w:themeColor="accent4"/>
        </w:rPr>
      </w:pPr>
      <w:r w:rsidRPr="003F0882">
        <w:rPr>
          <w:lang w:val="vi-VN"/>
        </w:rPr>
        <w:t>Enterprise value per subscriber: Used particularly for subscription-based businesses</w:t>
      </w:r>
    </w:p>
    <w:p w14:paraId="52D2628D" w14:textId="2FF5434A" w:rsidR="004A09F7" w:rsidRDefault="004A09F7" w:rsidP="004A09F7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4A09F7">
        <w:rPr>
          <w:b/>
          <w:bCs/>
          <w:color w:val="0F9ED5" w:themeColor="accent4"/>
        </w:rPr>
        <w:t>Important Limitations of Multiples Valuation</w:t>
      </w:r>
    </w:p>
    <w:p w14:paraId="2E1F7007" w14:textId="2354BB6C" w:rsidR="004A09F7" w:rsidRPr="004A09F7" w:rsidRDefault="004A09F7" w:rsidP="004A09F7">
      <w:pPr>
        <w:pStyle w:val="NormalWeb"/>
        <w:numPr>
          <w:ilvl w:val="0"/>
          <w:numId w:val="24"/>
        </w:numPr>
        <w:rPr>
          <w:lang w:val="vi-VN"/>
        </w:rPr>
      </w:pPr>
      <w:r w:rsidRPr="004A09F7">
        <w:rPr>
          <w:b/>
          <w:bCs/>
          <w:lang w:val="vi-VN"/>
        </w:rPr>
        <w:t>Lack of identical comparables:</w:t>
      </w:r>
      <w:r w:rsidRPr="004A09F7">
        <w:rPr>
          <w:lang w:val="vi-VN"/>
        </w:rPr>
        <w:t xml:space="preserve"> No two companies are exactly alike in operations, growth prospects, or risk</w:t>
      </w:r>
      <w:r>
        <w:rPr>
          <w:lang w:val="vi-VN"/>
        </w:rPr>
        <w:br/>
      </w:r>
    </w:p>
    <w:p w14:paraId="07197664" w14:textId="04A6D34A" w:rsidR="004A09F7" w:rsidRPr="004A09F7" w:rsidRDefault="004A09F7" w:rsidP="004A09F7">
      <w:pPr>
        <w:pStyle w:val="NormalWeb"/>
        <w:numPr>
          <w:ilvl w:val="0"/>
          <w:numId w:val="24"/>
        </w:numPr>
        <w:rPr>
          <w:lang w:val="vi-VN"/>
        </w:rPr>
      </w:pPr>
      <w:r w:rsidRPr="004A09F7">
        <w:rPr>
          <w:b/>
          <w:bCs/>
          <w:lang w:val="vi-VN"/>
        </w:rPr>
        <w:t>Relative nature:</w:t>
      </w:r>
      <w:r w:rsidRPr="004A09F7">
        <w:rPr>
          <w:lang w:val="vi-VN"/>
        </w:rPr>
        <w:t xml:space="preserve"> Multiples only show value relative to peers, not absolute intrinsic value</w:t>
      </w:r>
      <w:r>
        <w:rPr>
          <w:lang w:val="vi-VN"/>
        </w:rPr>
        <w:br/>
      </w:r>
    </w:p>
    <w:p w14:paraId="76DF967E" w14:textId="0F046214" w:rsidR="004A09F7" w:rsidRPr="004A09F7" w:rsidRDefault="004A09F7" w:rsidP="004A09F7">
      <w:pPr>
        <w:pStyle w:val="NormalWeb"/>
        <w:numPr>
          <w:ilvl w:val="0"/>
          <w:numId w:val="24"/>
        </w:numPr>
        <w:rPr>
          <w:lang w:val="vi-VN"/>
        </w:rPr>
      </w:pPr>
      <w:r w:rsidRPr="004A09F7">
        <w:rPr>
          <w:b/>
          <w:bCs/>
          <w:lang w:val="vi-VN"/>
        </w:rPr>
        <w:t>Different value drivers:</w:t>
      </w:r>
      <w:r w:rsidRPr="004A09F7">
        <w:rPr>
          <w:lang w:val="vi-VN"/>
        </w:rPr>
        <w:t xml:space="preserve"> Each multiple emphasizes different aspects (revenue, book value, subscribers)</w:t>
      </w:r>
      <w:r>
        <w:rPr>
          <w:lang w:val="vi-VN"/>
        </w:rPr>
        <w:br/>
      </w:r>
    </w:p>
    <w:p w14:paraId="7A9D5A81" w14:textId="77777777" w:rsidR="004A09F7" w:rsidRDefault="004A09F7" w:rsidP="004A09F7">
      <w:pPr>
        <w:pStyle w:val="NormalWeb"/>
        <w:numPr>
          <w:ilvl w:val="0"/>
          <w:numId w:val="24"/>
        </w:numPr>
        <w:rPr>
          <w:lang w:val="vi-VN"/>
        </w:rPr>
      </w:pPr>
      <w:r w:rsidRPr="004A09F7">
        <w:rPr>
          <w:b/>
          <w:bCs/>
          <w:lang w:val="vi-VN"/>
        </w:rPr>
        <w:t>Adjustment challenges:</w:t>
      </w:r>
      <w:r w:rsidRPr="004A09F7">
        <w:rPr>
          <w:lang w:val="vi-VN"/>
        </w:rPr>
        <w:t xml:space="preserve"> No standardized method to account for differences between companies</w:t>
      </w:r>
    </w:p>
    <w:p w14:paraId="17EDC4DB" w14:textId="77777777" w:rsidR="00D52B18" w:rsidRDefault="003C074F" w:rsidP="00D52B18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3C074F">
        <w:rPr>
          <w:b/>
          <w:bCs/>
          <w:color w:val="0F9ED5" w:themeColor="accent4"/>
          <w:lang w:val="vi-VN"/>
        </w:rPr>
        <w:lastRenderedPageBreak/>
        <w:t>Stock Valuation Techniques</w:t>
      </w:r>
    </w:p>
    <w:p w14:paraId="10096DBF" w14:textId="52FA6CC2" w:rsidR="00D52B18" w:rsidRDefault="00D52B18" w:rsidP="00D52B18">
      <w:pPr>
        <w:pStyle w:val="NormalWeb"/>
        <w:numPr>
          <w:ilvl w:val="0"/>
          <w:numId w:val="32"/>
        </w:numPr>
        <w:rPr>
          <w:b/>
          <w:bCs/>
          <w:color w:val="0F9ED5" w:themeColor="accent4"/>
          <w:lang w:val="vi-VN"/>
        </w:rPr>
      </w:pPr>
      <w:r w:rsidRPr="00D52B18">
        <w:rPr>
          <w:lang w:val="vi-VN"/>
        </w:rPr>
        <w:t>No single technique provides a final answer regarding a stock's true (intrinsic) value.</w:t>
      </w:r>
      <w:r>
        <w:rPr>
          <w:lang w:val="vi-VN"/>
        </w:rPr>
        <w:br/>
      </w:r>
    </w:p>
    <w:p w14:paraId="04B44864" w14:textId="6C2B332E" w:rsidR="00D52B18" w:rsidRDefault="00D52B18" w:rsidP="00D52B18">
      <w:pPr>
        <w:pStyle w:val="NormalWeb"/>
        <w:numPr>
          <w:ilvl w:val="0"/>
          <w:numId w:val="32"/>
        </w:numPr>
        <w:rPr>
          <w:b/>
          <w:bCs/>
          <w:color w:val="0F9ED5" w:themeColor="accent4"/>
          <w:lang w:val="vi-VN"/>
        </w:rPr>
      </w:pPr>
      <w:r w:rsidRPr="00D52B18">
        <w:rPr>
          <w:lang w:val="vi-VN"/>
        </w:rPr>
        <w:t>All approaches require assumptions or forecasts that are too uncertain to provide a definitive assessment of the firm's value.</w:t>
      </w:r>
      <w:r>
        <w:rPr>
          <w:lang w:val="vi-VN"/>
        </w:rPr>
        <w:br/>
      </w:r>
    </w:p>
    <w:p w14:paraId="6893E972" w14:textId="211A301B" w:rsidR="00D52B18" w:rsidRPr="00D52B18" w:rsidRDefault="00D52B18" w:rsidP="00D52B18">
      <w:pPr>
        <w:pStyle w:val="NormalWeb"/>
        <w:numPr>
          <w:ilvl w:val="0"/>
          <w:numId w:val="32"/>
        </w:numPr>
        <w:rPr>
          <w:b/>
          <w:bCs/>
          <w:color w:val="0F9ED5" w:themeColor="accent4"/>
          <w:lang w:val="vi-VN"/>
        </w:rPr>
      </w:pPr>
      <w:r w:rsidRPr="00D52B18">
        <w:rPr>
          <w:lang w:val="vi-VN"/>
        </w:rPr>
        <w:t>In practice, a combination of these methods is used.</w:t>
      </w:r>
    </w:p>
    <w:p w14:paraId="511519FC" w14:textId="77777777" w:rsidR="00261FD4" w:rsidRDefault="00261FD4" w:rsidP="00261FD4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8B66AF">
        <w:rPr>
          <w:b/>
          <w:bCs/>
          <w:color w:val="0F9ED5" w:themeColor="accent4"/>
          <w:lang w:val="vi-VN"/>
        </w:rPr>
        <w:t>Enterprise Value Multiples</w:t>
      </w:r>
    </w:p>
    <w:p w14:paraId="1A3505DC" w14:textId="021EC713" w:rsidR="00261FD4" w:rsidRPr="00261FD4" w:rsidRDefault="00261FD4" w:rsidP="00261FD4">
      <w:pPr>
        <w:pStyle w:val="NormalWeb"/>
        <w:numPr>
          <w:ilvl w:val="0"/>
          <w:numId w:val="24"/>
        </w:numPr>
        <w:rPr>
          <w:b/>
          <w:bCs/>
          <w:color w:val="0F9ED5" w:themeColor="accent4"/>
          <w:lang w:val="vi-VN"/>
        </w:rPr>
      </w:pPr>
      <w:r w:rsidRPr="00261FD4">
        <w:t>Enterprise Value (EV</w:t>
      </w:r>
      <w:r w:rsidR="00CA1799">
        <w:rPr>
          <w:lang w:val="vi-VN"/>
        </w:rPr>
        <w:t xml:space="preserve"> -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0</m:t>
            </m:r>
          </m:sub>
        </m:sSub>
      </m:oMath>
      <w:r w:rsidRPr="00261FD4">
        <w:t>) multiples are widely used in company valuation, especially when comparing firms with different capital structures (debt levels)</w:t>
      </w:r>
    </w:p>
    <w:p w14:paraId="6BF919AE" w14:textId="7FA186CE" w:rsidR="00261FD4" w:rsidRPr="00261FD4" w:rsidRDefault="00261FD4" w:rsidP="00261FD4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261FD4">
        <w:rPr>
          <w:b/>
          <w:bCs/>
          <w:color w:val="0F9ED5" w:themeColor="accent4"/>
          <w:lang w:val="vi-VN"/>
        </w:rPr>
        <w:t xml:space="preserve">Common EV </w:t>
      </w:r>
      <w:r>
        <w:rPr>
          <w:b/>
          <w:bCs/>
          <w:color w:val="0F9ED5" w:themeColor="accent4"/>
          <w:lang w:val="vi-VN"/>
        </w:rPr>
        <w:t xml:space="preserve">Multiples: </w:t>
      </w:r>
      <w:r w:rsidRPr="00261FD4">
        <w:t>EV</w:t>
      </w:r>
      <w:r w:rsidR="00220F88" w:rsidRPr="00220F88">
        <w:rPr>
          <w:lang w:val="vi-VN"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vi-V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vi-VN"/>
          </w:rPr>
          <m:t>)</m:t>
        </m:r>
      </m:oMath>
      <w:r w:rsidRPr="00261FD4">
        <w:t xml:space="preserve"> is compared to pre-interest earnings metrics:</w:t>
      </w:r>
    </w:p>
    <w:p w14:paraId="4E5B10CF" w14:textId="717E5583" w:rsidR="00261FD4" w:rsidRPr="00261FD4" w:rsidRDefault="00261FD4" w:rsidP="00261FD4">
      <w:pPr>
        <w:pStyle w:val="NormalWeb"/>
        <w:numPr>
          <w:ilvl w:val="0"/>
          <w:numId w:val="30"/>
        </w:numPr>
        <w:rPr>
          <w:color w:val="E97132" w:themeColor="accent2"/>
        </w:rPr>
      </w:pPr>
      <w:r w:rsidRPr="00261FD4">
        <w:rPr>
          <w:color w:val="E97132" w:themeColor="accent2"/>
        </w:rPr>
        <w:t>EV/EBIT: Enterprise Value ÷ Earnings Before Interest and Taxes.</w:t>
      </w:r>
      <w:r w:rsidRPr="00261FD4">
        <w:rPr>
          <w:color w:val="E97132" w:themeColor="accent2"/>
          <w:lang w:val="vi-VN"/>
        </w:rPr>
        <w:br/>
      </w:r>
    </w:p>
    <w:p w14:paraId="16A0C4EC" w14:textId="77777777" w:rsidR="00261FD4" w:rsidRPr="00261FD4" w:rsidRDefault="00261FD4" w:rsidP="00261FD4">
      <w:pPr>
        <w:pStyle w:val="NormalWeb"/>
        <w:numPr>
          <w:ilvl w:val="0"/>
          <w:numId w:val="30"/>
        </w:numPr>
        <w:rPr>
          <w:color w:val="E97132" w:themeColor="accent2"/>
        </w:rPr>
      </w:pPr>
      <w:r w:rsidRPr="00261FD4">
        <w:rPr>
          <w:color w:val="E97132" w:themeColor="accent2"/>
        </w:rPr>
        <w:t>EV/EBITDA: Enterprise Value ÷ Earnings Before Interest, Taxes, Depreciation &amp; Amortization.</w:t>
      </w:r>
    </w:p>
    <w:p w14:paraId="66650E1B" w14:textId="20561A86" w:rsidR="00261FD4" w:rsidRDefault="00261FD4" w:rsidP="00261FD4">
      <w:pPr>
        <w:pStyle w:val="NormalWeb"/>
        <w:ind w:left="360"/>
        <w:rPr>
          <w:b/>
          <w:bCs/>
          <w:color w:val="0F9ED5" w:themeColor="accent4"/>
          <w:lang w:val="vi-VN"/>
        </w:rPr>
      </w:pPr>
      <w:r w:rsidRPr="00261FD4">
        <w:rPr>
          <w:b/>
          <w:bCs/>
          <w:color w:val="0F9ED5" w:themeColor="accent4"/>
          <w:lang w:val="vi-VN"/>
        </w:rPr>
        <w:t>Linking EV/EBITDA to Discounted Cash Flow (DCF)</w:t>
      </w:r>
    </w:p>
    <w:tbl>
      <w:tblPr>
        <w:tblStyle w:val="TableGrid"/>
        <w:tblW w:w="4398" w:type="dxa"/>
        <w:tblInd w:w="360" w:type="dxa"/>
        <w:tblLook w:val="04A0" w:firstRow="1" w:lastRow="0" w:firstColumn="1" w:lastColumn="0" w:noHBand="0" w:noVBand="1"/>
      </w:tblPr>
      <w:tblGrid>
        <w:gridCol w:w="4398"/>
      </w:tblGrid>
      <w:tr w:rsidR="00BB2051" w14:paraId="5D792B3D" w14:textId="77777777" w:rsidTr="000445E3">
        <w:trPr>
          <w:trHeight w:val="882"/>
        </w:trPr>
        <w:tc>
          <w:tcPr>
            <w:tcW w:w="4398" w:type="dxa"/>
          </w:tcPr>
          <w:p w14:paraId="724BB55A" w14:textId="0A98B266" w:rsidR="000445E3" w:rsidRPr="000445E3" w:rsidRDefault="000445E3" w:rsidP="00261FD4">
            <w:pPr>
              <w:pStyle w:val="NormalWeb"/>
              <w:rPr>
                <w:b/>
                <w:bCs/>
                <w:color w:val="E97132" w:themeColor="accent2"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color w:val="E97132" w:themeColor="accent2"/>
                    <w:lang w:val="vi-VN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EBITDA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97132" w:themeColor="accent2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97132" w:themeColor="accent2"/>
                        <w:lang w:val="vi-VN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FCF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E97132" w:themeColor="accent2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EBITDA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97132" w:themeColor="accent2"/>
                                <w:lang w:val="vi-VN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wacc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97132" w:themeColor="accent2"/>
                        <w:lang w:val="vi-V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E97132" w:themeColor="accent2"/>
                            <w:lang w:val="vi-V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97132" w:themeColor="accent2"/>
                            <w:lang w:val="vi-VN"/>
                          </w:rPr>
                          <m:t>FCF</m:t>
                        </m:r>
                      </m:sub>
                    </m:sSub>
                  </m:den>
                </m:f>
                <m:r>
                  <w:rPr>
                    <w:b/>
                    <w:bCs/>
                    <w:color w:val="E97132" w:themeColor="accent2"/>
                    <w:lang w:val="vi-VN"/>
                  </w:rPr>
                  <w:br/>
                </m:r>
              </m:oMath>
            </m:oMathPara>
          </w:p>
        </w:tc>
      </w:tr>
    </w:tbl>
    <w:p w14:paraId="78BA411B" w14:textId="77777777" w:rsidR="00BB2051" w:rsidRPr="00261FD4" w:rsidRDefault="00BB2051" w:rsidP="00261FD4">
      <w:pPr>
        <w:pStyle w:val="NormalWeb"/>
        <w:ind w:left="360"/>
        <w:rPr>
          <w:b/>
          <w:bCs/>
          <w:color w:val="0F9ED5" w:themeColor="accent4"/>
          <w:lang w:val="vi-VN"/>
        </w:rPr>
      </w:pPr>
    </w:p>
    <w:sectPr w:rsidR="00BB2051" w:rsidRPr="0026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B4F"/>
    <w:multiLevelType w:val="multilevel"/>
    <w:tmpl w:val="AF4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127F"/>
    <w:multiLevelType w:val="multilevel"/>
    <w:tmpl w:val="916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75CA"/>
    <w:multiLevelType w:val="multilevel"/>
    <w:tmpl w:val="418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7E70"/>
    <w:multiLevelType w:val="multilevel"/>
    <w:tmpl w:val="C48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17B8B"/>
    <w:multiLevelType w:val="multilevel"/>
    <w:tmpl w:val="AB2A0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53A27"/>
    <w:multiLevelType w:val="multilevel"/>
    <w:tmpl w:val="E9F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92552"/>
    <w:multiLevelType w:val="hybridMultilevel"/>
    <w:tmpl w:val="C5F4C2F2"/>
    <w:lvl w:ilvl="0" w:tplc="6B3E87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4E5B"/>
    <w:multiLevelType w:val="multilevel"/>
    <w:tmpl w:val="9ED86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D71E6"/>
    <w:multiLevelType w:val="hybridMultilevel"/>
    <w:tmpl w:val="98E28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256FE7"/>
    <w:multiLevelType w:val="multilevel"/>
    <w:tmpl w:val="9D0C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F402C"/>
    <w:multiLevelType w:val="multilevel"/>
    <w:tmpl w:val="2454F6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197CC3"/>
    <w:multiLevelType w:val="multilevel"/>
    <w:tmpl w:val="53D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948F4"/>
    <w:multiLevelType w:val="multilevel"/>
    <w:tmpl w:val="E27E7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03B7E"/>
    <w:multiLevelType w:val="multilevel"/>
    <w:tmpl w:val="113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245EB"/>
    <w:multiLevelType w:val="multilevel"/>
    <w:tmpl w:val="0F8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C4060"/>
    <w:multiLevelType w:val="multilevel"/>
    <w:tmpl w:val="E84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44C94"/>
    <w:multiLevelType w:val="multilevel"/>
    <w:tmpl w:val="379A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F26BA"/>
    <w:multiLevelType w:val="hybridMultilevel"/>
    <w:tmpl w:val="146836EE"/>
    <w:lvl w:ilvl="0" w:tplc="DB7C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17A"/>
    <w:multiLevelType w:val="hybridMultilevel"/>
    <w:tmpl w:val="BDBEC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C6BB9"/>
    <w:multiLevelType w:val="multilevel"/>
    <w:tmpl w:val="D17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A09DF"/>
    <w:multiLevelType w:val="multilevel"/>
    <w:tmpl w:val="B714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6B3F87"/>
    <w:multiLevelType w:val="hybridMultilevel"/>
    <w:tmpl w:val="D6DA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76DFF"/>
    <w:multiLevelType w:val="multilevel"/>
    <w:tmpl w:val="346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E292E"/>
    <w:multiLevelType w:val="multilevel"/>
    <w:tmpl w:val="EBC4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C57F4"/>
    <w:multiLevelType w:val="hybridMultilevel"/>
    <w:tmpl w:val="06CE59B2"/>
    <w:lvl w:ilvl="0" w:tplc="22268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657F0"/>
    <w:multiLevelType w:val="hybridMultilevel"/>
    <w:tmpl w:val="9DAEC37C"/>
    <w:lvl w:ilvl="0" w:tplc="B784E8E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E0592"/>
    <w:multiLevelType w:val="multilevel"/>
    <w:tmpl w:val="B2C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C4528"/>
    <w:multiLevelType w:val="multilevel"/>
    <w:tmpl w:val="C51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0355B"/>
    <w:multiLevelType w:val="multilevel"/>
    <w:tmpl w:val="6022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5D04C1"/>
    <w:multiLevelType w:val="hybridMultilevel"/>
    <w:tmpl w:val="19F88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71ACC"/>
    <w:multiLevelType w:val="multilevel"/>
    <w:tmpl w:val="6DC47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D0F17"/>
    <w:multiLevelType w:val="multilevel"/>
    <w:tmpl w:val="28C42A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022757">
    <w:abstractNumId w:val="26"/>
  </w:num>
  <w:num w:numId="2" w16cid:durableId="720056662">
    <w:abstractNumId w:val="0"/>
  </w:num>
  <w:num w:numId="3" w16cid:durableId="945192905">
    <w:abstractNumId w:val="30"/>
  </w:num>
  <w:num w:numId="4" w16cid:durableId="736981177">
    <w:abstractNumId w:val="4"/>
  </w:num>
  <w:num w:numId="5" w16cid:durableId="353961854">
    <w:abstractNumId w:val="12"/>
  </w:num>
  <w:num w:numId="6" w16cid:durableId="1667129903">
    <w:abstractNumId w:val="3"/>
  </w:num>
  <w:num w:numId="7" w16cid:durableId="564218854">
    <w:abstractNumId w:val="23"/>
  </w:num>
  <w:num w:numId="8" w16cid:durableId="1944796827">
    <w:abstractNumId w:val="2"/>
  </w:num>
  <w:num w:numId="9" w16cid:durableId="867914402">
    <w:abstractNumId w:val="1"/>
  </w:num>
  <w:num w:numId="10" w16cid:durableId="71894036">
    <w:abstractNumId w:val="16"/>
  </w:num>
  <w:num w:numId="11" w16cid:durableId="1257785293">
    <w:abstractNumId w:val="7"/>
  </w:num>
  <w:num w:numId="12" w16cid:durableId="350842012">
    <w:abstractNumId w:val="10"/>
  </w:num>
  <w:num w:numId="13" w16cid:durableId="412817764">
    <w:abstractNumId w:val="31"/>
  </w:num>
  <w:num w:numId="14" w16cid:durableId="1456408530">
    <w:abstractNumId w:val="14"/>
  </w:num>
  <w:num w:numId="15" w16cid:durableId="1189416321">
    <w:abstractNumId w:val="9"/>
  </w:num>
  <w:num w:numId="16" w16cid:durableId="1314481757">
    <w:abstractNumId w:val="15"/>
  </w:num>
  <w:num w:numId="17" w16cid:durableId="88819348">
    <w:abstractNumId w:val="13"/>
  </w:num>
  <w:num w:numId="18" w16cid:durableId="538976719">
    <w:abstractNumId w:val="27"/>
  </w:num>
  <w:num w:numId="19" w16cid:durableId="2083943947">
    <w:abstractNumId w:val="11"/>
  </w:num>
  <w:num w:numId="20" w16cid:durableId="1261452420">
    <w:abstractNumId w:val="22"/>
  </w:num>
  <w:num w:numId="21" w16cid:durableId="1559825128">
    <w:abstractNumId w:val="24"/>
  </w:num>
  <w:num w:numId="22" w16cid:durableId="397628199">
    <w:abstractNumId w:val="8"/>
  </w:num>
  <w:num w:numId="23" w16cid:durableId="1995257814">
    <w:abstractNumId w:val="18"/>
  </w:num>
  <w:num w:numId="24" w16cid:durableId="830019985">
    <w:abstractNumId w:val="5"/>
  </w:num>
  <w:num w:numId="25" w16cid:durableId="1368337966">
    <w:abstractNumId w:val="21"/>
  </w:num>
  <w:num w:numId="26" w16cid:durableId="524904637">
    <w:abstractNumId w:val="25"/>
  </w:num>
  <w:num w:numId="27" w16cid:durableId="1367948138">
    <w:abstractNumId w:val="19"/>
  </w:num>
  <w:num w:numId="28" w16cid:durableId="558519476">
    <w:abstractNumId w:val="6"/>
  </w:num>
  <w:num w:numId="29" w16cid:durableId="1088111129">
    <w:abstractNumId w:val="20"/>
  </w:num>
  <w:num w:numId="30" w16cid:durableId="1624535231">
    <w:abstractNumId w:val="28"/>
  </w:num>
  <w:num w:numId="31" w16cid:durableId="1145967916">
    <w:abstractNumId w:val="29"/>
  </w:num>
  <w:num w:numId="32" w16cid:durableId="1532457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1C"/>
    <w:rsid w:val="000112F8"/>
    <w:rsid w:val="000266B3"/>
    <w:rsid w:val="000445E3"/>
    <w:rsid w:val="000A229D"/>
    <w:rsid w:val="000A672E"/>
    <w:rsid w:val="000B4118"/>
    <w:rsid w:val="00126308"/>
    <w:rsid w:val="00144573"/>
    <w:rsid w:val="00164E40"/>
    <w:rsid w:val="001E3ACB"/>
    <w:rsid w:val="00220F88"/>
    <w:rsid w:val="00243003"/>
    <w:rsid w:val="00246E92"/>
    <w:rsid w:val="002472A2"/>
    <w:rsid w:val="002527A9"/>
    <w:rsid w:val="00261FD4"/>
    <w:rsid w:val="00263733"/>
    <w:rsid w:val="002757D5"/>
    <w:rsid w:val="00280AEE"/>
    <w:rsid w:val="002B01D4"/>
    <w:rsid w:val="002D0CED"/>
    <w:rsid w:val="002F4E3C"/>
    <w:rsid w:val="00311F1A"/>
    <w:rsid w:val="00321B05"/>
    <w:rsid w:val="00344122"/>
    <w:rsid w:val="003C074F"/>
    <w:rsid w:val="003E7C8C"/>
    <w:rsid w:val="003F0882"/>
    <w:rsid w:val="003F5D3B"/>
    <w:rsid w:val="003F7642"/>
    <w:rsid w:val="00411F0D"/>
    <w:rsid w:val="004700CE"/>
    <w:rsid w:val="00484AF8"/>
    <w:rsid w:val="004A09F7"/>
    <w:rsid w:val="004A1984"/>
    <w:rsid w:val="004B62A7"/>
    <w:rsid w:val="004D4106"/>
    <w:rsid w:val="00502DB5"/>
    <w:rsid w:val="005117E4"/>
    <w:rsid w:val="00553AEE"/>
    <w:rsid w:val="005914E6"/>
    <w:rsid w:val="0059642D"/>
    <w:rsid w:val="005B3461"/>
    <w:rsid w:val="005D56AD"/>
    <w:rsid w:val="00614608"/>
    <w:rsid w:val="00642C0C"/>
    <w:rsid w:val="00643B31"/>
    <w:rsid w:val="006719CC"/>
    <w:rsid w:val="00690DE7"/>
    <w:rsid w:val="006C2BBF"/>
    <w:rsid w:val="006F7AC1"/>
    <w:rsid w:val="0075649D"/>
    <w:rsid w:val="00770131"/>
    <w:rsid w:val="007708C5"/>
    <w:rsid w:val="00772E1C"/>
    <w:rsid w:val="00774C85"/>
    <w:rsid w:val="007931D2"/>
    <w:rsid w:val="007973E3"/>
    <w:rsid w:val="007D2E7A"/>
    <w:rsid w:val="007D6467"/>
    <w:rsid w:val="007E22B3"/>
    <w:rsid w:val="00825C15"/>
    <w:rsid w:val="0087034C"/>
    <w:rsid w:val="008924F2"/>
    <w:rsid w:val="008A0FEB"/>
    <w:rsid w:val="008B66AF"/>
    <w:rsid w:val="008B6F32"/>
    <w:rsid w:val="008C5451"/>
    <w:rsid w:val="008F7F0E"/>
    <w:rsid w:val="00902C0A"/>
    <w:rsid w:val="00935222"/>
    <w:rsid w:val="00956FF1"/>
    <w:rsid w:val="00957A1F"/>
    <w:rsid w:val="00973CF0"/>
    <w:rsid w:val="0098444E"/>
    <w:rsid w:val="00A15E80"/>
    <w:rsid w:val="00A24AE5"/>
    <w:rsid w:val="00A74338"/>
    <w:rsid w:val="00A92C4F"/>
    <w:rsid w:val="00AD6025"/>
    <w:rsid w:val="00B66A94"/>
    <w:rsid w:val="00B73DE2"/>
    <w:rsid w:val="00BB2051"/>
    <w:rsid w:val="00BD6C1F"/>
    <w:rsid w:val="00C32AE3"/>
    <w:rsid w:val="00C352F5"/>
    <w:rsid w:val="00C42BB8"/>
    <w:rsid w:val="00C54F05"/>
    <w:rsid w:val="00C57BDD"/>
    <w:rsid w:val="00C84DEF"/>
    <w:rsid w:val="00CA0CDE"/>
    <w:rsid w:val="00CA1799"/>
    <w:rsid w:val="00CB4044"/>
    <w:rsid w:val="00CD443F"/>
    <w:rsid w:val="00CE3E93"/>
    <w:rsid w:val="00CF09A8"/>
    <w:rsid w:val="00D52B18"/>
    <w:rsid w:val="00D54471"/>
    <w:rsid w:val="00D60DFF"/>
    <w:rsid w:val="00DA0A37"/>
    <w:rsid w:val="00DB4AAE"/>
    <w:rsid w:val="00DC5406"/>
    <w:rsid w:val="00DE0D06"/>
    <w:rsid w:val="00DF7D45"/>
    <w:rsid w:val="00E0171C"/>
    <w:rsid w:val="00E359B6"/>
    <w:rsid w:val="00E66400"/>
    <w:rsid w:val="00E700B1"/>
    <w:rsid w:val="00E8532F"/>
    <w:rsid w:val="00EF370C"/>
    <w:rsid w:val="00EF7F9B"/>
    <w:rsid w:val="00F05638"/>
    <w:rsid w:val="00F1030A"/>
    <w:rsid w:val="00F120CB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36E5"/>
  <w15:chartTrackingRefBased/>
  <w15:docId w15:val="{E3CCD967-44F7-48AA-AA42-2DA2E1DA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7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7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73DE2"/>
    <w:rPr>
      <w:b/>
      <w:bCs/>
    </w:rPr>
  </w:style>
  <w:style w:type="table" w:styleId="TableGrid">
    <w:name w:val="Table Grid"/>
    <w:basedOn w:val="TableNormal"/>
    <w:uiPriority w:val="39"/>
    <w:rsid w:val="00B7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F370C"/>
  </w:style>
  <w:style w:type="character" w:customStyle="1" w:styleId="mord">
    <w:name w:val="mord"/>
    <w:basedOn w:val="DefaultParagraphFont"/>
    <w:rsid w:val="00EF370C"/>
  </w:style>
  <w:style w:type="character" w:customStyle="1" w:styleId="vlist-s">
    <w:name w:val="vlist-s"/>
    <w:basedOn w:val="DefaultParagraphFont"/>
    <w:rsid w:val="00EF370C"/>
  </w:style>
  <w:style w:type="character" w:customStyle="1" w:styleId="mrel">
    <w:name w:val="mrel"/>
    <w:basedOn w:val="DefaultParagraphFont"/>
    <w:rsid w:val="00EF370C"/>
  </w:style>
  <w:style w:type="character" w:styleId="PlaceholderText">
    <w:name w:val="Placeholder Text"/>
    <w:basedOn w:val="DefaultParagraphFont"/>
    <w:uiPriority w:val="99"/>
    <w:semiHidden/>
    <w:rsid w:val="00973CF0"/>
    <w:rPr>
      <w:color w:val="666666"/>
    </w:rPr>
  </w:style>
  <w:style w:type="paragraph" w:styleId="Revision">
    <w:name w:val="Revision"/>
    <w:hidden/>
    <w:uiPriority w:val="99"/>
    <w:semiHidden/>
    <w:rsid w:val="008924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6202-B599-4415-B1F9-E7BF7A46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9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114</cp:revision>
  <dcterms:created xsi:type="dcterms:W3CDTF">2025-07-01T05:12:00Z</dcterms:created>
  <dcterms:modified xsi:type="dcterms:W3CDTF">2025-07-03T17:02:00Z</dcterms:modified>
</cp:coreProperties>
</file>