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5794" w14:textId="604092E0" w:rsidR="000B4118" w:rsidRDefault="00165800">
      <w:pPr>
        <w:rPr>
          <w:lang w:val="vi-VN"/>
        </w:rPr>
      </w:pPr>
      <w:r w:rsidRPr="00165800">
        <w:drawing>
          <wp:inline distT="0" distB="0" distL="0" distR="0" wp14:anchorId="284F943C" wp14:editId="3D4FBA9E">
            <wp:extent cx="2970266" cy="880290"/>
            <wp:effectExtent l="0" t="0" r="1905" b="0"/>
            <wp:docPr id="65085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59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123" cy="88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AC37" w14:textId="77777777" w:rsidR="00D05B23" w:rsidRPr="00D05B23" w:rsidRDefault="001D0FBD" w:rsidP="00D0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D05B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Capital Markets and Pricing of Risk</w:t>
      </w:r>
      <w:r w:rsidRPr="00D05B23">
        <w:rPr>
          <w:rFonts w:ascii="Times New Roman" w:hAnsi="Times New Roman" w:cs="Times New Roman"/>
          <w:color w:val="FF0000"/>
          <w:sz w:val="24"/>
          <w:szCs w:val="24"/>
        </w:rPr>
        <w:t> </w:t>
      </w:r>
    </w:p>
    <w:p w14:paraId="0DBDBEF6" w14:textId="77777777" w:rsidR="00D05B23" w:rsidRPr="00D05B23" w:rsidRDefault="00D05B23" w:rsidP="00D05B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D05B23">
        <w:rPr>
          <w:rFonts w:ascii="Times New Roman" w:hAnsi="Times New Roman" w:cs="Times New Roman"/>
          <w:sz w:val="24"/>
          <w:szCs w:val="24"/>
        </w:rPr>
        <w:t>Capital markets react to events like war, inflation, and uncertainty.</w:t>
      </w:r>
    </w:p>
    <w:p w14:paraId="1D902E61" w14:textId="77777777" w:rsidR="00D05B23" w:rsidRPr="00D05B23" w:rsidRDefault="00D05B23" w:rsidP="00D05B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D05B23">
        <w:rPr>
          <w:rFonts w:ascii="Times New Roman" w:hAnsi="Times New Roman" w:cs="Times New Roman"/>
          <w:sz w:val="24"/>
          <w:szCs w:val="24"/>
        </w:rPr>
        <w:t xml:space="preserve">Investors respond through </w:t>
      </w:r>
      <w:r w:rsidRPr="00D05B23">
        <w:rPr>
          <w:rStyle w:val="Strong"/>
          <w:rFonts w:ascii="Times New Roman" w:eastAsiaTheme="majorEastAsia" w:hAnsi="Times New Roman" w:cs="Times New Roman"/>
          <w:sz w:val="24"/>
          <w:szCs w:val="24"/>
        </w:rPr>
        <w:t>“flight to quality”</w:t>
      </w:r>
      <w:r w:rsidRPr="00D05B23">
        <w:rPr>
          <w:rFonts w:ascii="Times New Roman" w:hAnsi="Times New Roman" w:cs="Times New Roman"/>
          <w:sz w:val="24"/>
          <w:szCs w:val="24"/>
        </w:rPr>
        <w:t>: moving to safer assets (e.g. USD, gold).</w:t>
      </w:r>
    </w:p>
    <w:p w14:paraId="183E68CF" w14:textId="67534A9E" w:rsidR="00D05B23" w:rsidRPr="00D05B23" w:rsidRDefault="00D05B23" w:rsidP="00D05B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D05B23">
        <w:rPr>
          <w:rFonts w:ascii="Times New Roman" w:hAnsi="Times New Roman" w:cs="Times New Roman"/>
          <w:sz w:val="24"/>
          <w:szCs w:val="24"/>
        </w:rPr>
        <w:t>Volatility indexes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(std.dev)</w:t>
      </w:r>
      <w:r w:rsidRPr="00D05B23">
        <w:rPr>
          <w:rFonts w:ascii="Times New Roman" w:hAnsi="Times New Roman" w:cs="Times New Roman"/>
          <w:sz w:val="24"/>
          <w:szCs w:val="24"/>
        </w:rPr>
        <w:t xml:space="preserve"> (e.g. VIX) </w:t>
      </w:r>
      <w:r>
        <w:rPr>
          <w:rFonts w:ascii="Times New Roman" w:hAnsi="Times New Roman" w:cs="Times New Roman"/>
          <w:sz w:val="24"/>
          <w:szCs w:val="24"/>
        </w:rPr>
        <w:t>inc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05B23">
        <w:rPr>
          <w:rFonts w:ascii="Times New Roman" w:hAnsi="Times New Roman" w:cs="Times New Roman"/>
          <w:sz w:val="24"/>
          <w:szCs w:val="24"/>
        </w:rPr>
        <w:t>when risk increases.</w:t>
      </w:r>
      <w:r w:rsidR="007232B5">
        <w:rPr>
          <w:rFonts w:ascii="Times New Roman" w:hAnsi="Times New Roman" w:cs="Times New Roman"/>
          <w:sz w:val="24"/>
          <w:szCs w:val="24"/>
          <w:lang w:val="vi-VN"/>
        </w:rPr>
        <w:br/>
      </w:r>
    </w:p>
    <w:p w14:paraId="0E967DAE" w14:textId="3B1F9AB1" w:rsidR="00D05B23" w:rsidRDefault="007232B5" w:rsidP="00723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r w:rsidRPr="007232B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Efficient Market Hypothesis (EMH)</w:t>
      </w:r>
    </w:p>
    <w:p w14:paraId="7740C030" w14:textId="77ABB78D" w:rsidR="003C2E95" w:rsidRPr="003C2E95" w:rsidRDefault="003C2E95" w:rsidP="003C2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2E95">
        <w:rPr>
          <w:rFonts w:ascii="Times New Roman" w:hAnsi="Times New Roman" w:cs="Times New Roman"/>
          <w:b/>
          <w:bCs/>
          <w:sz w:val="24"/>
          <w:szCs w:val="24"/>
          <w:lang w:val="vi-VN"/>
        </w:rPr>
        <w:t>The weak-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form: </w:t>
      </w:r>
      <w:r w:rsidR="00BA150C">
        <w:rPr>
          <w:rFonts w:ascii="Times New Roman" w:hAnsi="Times New Roman" w:cs="Times New Roman"/>
          <w:sz w:val="24"/>
          <w:szCs w:val="24"/>
        </w:rPr>
        <w:t>S</w:t>
      </w:r>
      <w:r w:rsidRPr="003C2E95">
        <w:rPr>
          <w:rFonts w:ascii="Times New Roman" w:hAnsi="Times New Roman" w:cs="Times New Roman"/>
          <w:sz w:val="24"/>
          <w:szCs w:val="24"/>
        </w:rPr>
        <w:t>tock prices already reflect all information that can be derived by examining market trading data such as the history of past prices, trading volume, or short interest.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(past data)</w:t>
      </w:r>
      <w:r w:rsidR="00147F8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147F88">
        <w:rPr>
          <w:rFonts w:ascii="Times New Roman" w:hAnsi="Times New Roman" w:cs="Times New Roman"/>
          <w:sz w:val="24"/>
          <w:szCs w:val="24"/>
          <w:lang w:val="vi-VN"/>
        </w:rPr>
        <w:br/>
      </w:r>
    </w:p>
    <w:p w14:paraId="54D72DC2" w14:textId="2C313ADB" w:rsidR="00B92697" w:rsidRPr="00B92697" w:rsidRDefault="00BA150C" w:rsidP="00B926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150C">
        <w:rPr>
          <w:rFonts w:ascii="Times New Roman" w:hAnsi="Times New Roman" w:cs="Times New Roman"/>
          <w:b/>
          <w:bCs/>
          <w:sz w:val="24"/>
          <w:szCs w:val="24"/>
          <w:lang w:val="vi-VN"/>
        </w:rPr>
        <w:t>The semistrong-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form: </w:t>
      </w:r>
      <w:r w:rsidR="00B92697">
        <w:rPr>
          <w:rFonts w:ascii="Times New Roman" w:hAnsi="Times New Roman" w:cs="Times New Roman"/>
          <w:sz w:val="24"/>
          <w:szCs w:val="24"/>
        </w:rPr>
        <w:t>A</w:t>
      </w:r>
      <w:r w:rsidR="00B92697" w:rsidRPr="00B92697">
        <w:rPr>
          <w:rFonts w:ascii="Times New Roman" w:hAnsi="Times New Roman" w:cs="Times New Roman"/>
          <w:sz w:val="24"/>
          <w:szCs w:val="24"/>
        </w:rPr>
        <w:t>ll publicly available information regarding the prospects of a firm must be reflected already in the stock price.</w:t>
      </w:r>
      <w:r w:rsidR="00147F88">
        <w:rPr>
          <w:rFonts w:ascii="Times New Roman" w:hAnsi="Times New Roman" w:cs="Times New Roman"/>
          <w:sz w:val="24"/>
          <w:szCs w:val="24"/>
          <w:lang w:val="vi-VN"/>
        </w:rPr>
        <w:br/>
      </w:r>
    </w:p>
    <w:p w14:paraId="4190AB87" w14:textId="483D9EBD" w:rsidR="00147F88" w:rsidRPr="003E1CE1" w:rsidRDefault="00D52E51" w:rsidP="00147F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2E51">
        <w:rPr>
          <w:rFonts w:ascii="Times New Roman" w:hAnsi="Times New Roman" w:cs="Times New Roman"/>
          <w:b/>
          <w:bCs/>
          <w:sz w:val="24"/>
          <w:szCs w:val="24"/>
          <w:lang w:val="vi-VN"/>
        </w:rPr>
        <w:t>The strong-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form: </w:t>
      </w:r>
      <w:r w:rsidR="00147F88">
        <w:rPr>
          <w:rFonts w:ascii="Times New Roman" w:hAnsi="Times New Roman" w:cs="Times New Roman"/>
          <w:sz w:val="24"/>
          <w:szCs w:val="24"/>
        </w:rPr>
        <w:t>S</w:t>
      </w:r>
      <w:r w:rsidR="00147F88" w:rsidRPr="00147F88">
        <w:rPr>
          <w:rFonts w:ascii="Times New Roman" w:hAnsi="Times New Roman" w:cs="Times New Roman"/>
          <w:sz w:val="24"/>
          <w:szCs w:val="24"/>
        </w:rPr>
        <w:t>tock prices reflect all information relevant to the firm, even including information available only to company insiders.</w:t>
      </w:r>
    </w:p>
    <w:p w14:paraId="11990032" w14:textId="77777777" w:rsidR="003E1CE1" w:rsidRPr="00147F88" w:rsidRDefault="003E1CE1" w:rsidP="003E1C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FB2654" w14:textId="122EBFB7" w:rsidR="007232B5" w:rsidRDefault="00C557EE" w:rsidP="00C55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r w:rsidRPr="00C557E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Probability Distribution, Expected Return</w:t>
      </w:r>
    </w:p>
    <w:p w14:paraId="78D27440" w14:textId="3CC2B77B" w:rsidR="00E676AB" w:rsidRPr="00E676AB" w:rsidRDefault="00E676AB" w:rsidP="00E676AB">
      <w:pPr>
        <w:pStyle w:val="NormalWeb"/>
        <w:numPr>
          <w:ilvl w:val="0"/>
          <w:numId w:val="3"/>
        </w:numPr>
      </w:pPr>
      <w:r>
        <w:t xml:space="preserve">Each possible return has a </w:t>
      </w:r>
      <w:r>
        <w:rPr>
          <w:rStyle w:val="Strong"/>
          <w:rFonts w:eastAsiaTheme="majorEastAsia"/>
        </w:rPr>
        <w:t>probability</w:t>
      </w:r>
      <w:r>
        <w:t>.</w:t>
      </w:r>
      <w:r>
        <w:rPr>
          <w:lang w:val="vi-VN"/>
        </w:rPr>
        <w:br/>
      </w:r>
    </w:p>
    <w:p w14:paraId="233FEDD5" w14:textId="34E44EF1" w:rsidR="00E676AB" w:rsidRPr="00E676AB" w:rsidRDefault="00E676AB" w:rsidP="00E676AB">
      <w:pPr>
        <w:pStyle w:val="NormalWeb"/>
        <w:numPr>
          <w:ilvl w:val="0"/>
          <w:numId w:val="3"/>
        </w:numPr>
      </w:pPr>
      <w:r w:rsidRPr="00E676AB">
        <w:rPr>
          <w:rStyle w:val="Strong"/>
          <w:rFonts w:eastAsiaTheme="majorEastAsia"/>
        </w:rPr>
        <w:t>Expected Return</w:t>
      </w:r>
      <w:r>
        <w:t xml:space="preserve"> = weighted average of possible </w:t>
      </w:r>
      <w:r>
        <w:t>outcomes</w:t>
      </w:r>
      <w:r>
        <w:rPr>
          <w:lang w:val="vi-V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5"/>
      </w:tblGrid>
      <w:tr w:rsidR="00E676AB" w14:paraId="1A57CC86" w14:textId="77777777" w:rsidTr="00B65D66">
        <w:trPr>
          <w:trHeight w:val="653"/>
        </w:trPr>
        <w:tc>
          <w:tcPr>
            <w:tcW w:w="4535" w:type="dxa"/>
          </w:tcPr>
          <w:p w14:paraId="3AB3AF45" w14:textId="79E1D7F9" w:rsidR="00E676AB" w:rsidRPr="00E676AB" w:rsidRDefault="00E676AB" w:rsidP="00E676AB">
            <w:pPr>
              <w:pStyle w:val="NormalWeb"/>
              <w:rPr>
                <w:b/>
                <w:bCs/>
                <w:color w:val="E97132" w:themeColor="accent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</w:rPr>
                      <m:t>R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</w:rPr>
                          <m:t>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</w:rPr>
                      <m:t>*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Possible Return 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</w:rPr>
                      <m:t>)</m:t>
                    </m:r>
                  </m:e>
                </m:nary>
              </m:oMath>
            </m:oMathPara>
          </w:p>
        </w:tc>
      </w:tr>
    </w:tbl>
    <w:p w14:paraId="0367750B" w14:textId="12CEF40C" w:rsidR="00E676AB" w:rsidRPr="00DD6298" w:rsidRDefault="00DD6298" w:rsidP="00DD6298">
      <w:pPr>
        <w:pStyle w:val="NormalWeb"/>
        <w:numPr>
          <w:ilvl w:val="0"/>
          <w:numId w:val="1"/>
        </w:numPr>
        <w:rPr>
          <w:b/>
          <w:bCs/>
          <w:color w:val="FF0000"/>
          <w:lang w:val="vi-VN"/>
        </w:rPr>
      </w:pPr>
      <w:r w:rsidRPr="00DD6298">
        <w:rPr>
          <w:b/>
          <w:bCs/>
          <w:color w:val="FF0000"/>
        </w:rPr>
        <w:t>Risk Measures: Variance &amp; Standard Deviation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12"/>
      </w:tblGrid>
      <w:tr w:rsidR="00F30326" w14:paraId="4F21426D" w14:textId="77777777" w:rsidTr="00E84DA1">
        <w:trPr>
          <w:trHeight w:val="590"/>
        </w:trPr>
        <w:tc>
          <w:tcPr>
            <w:tcW w:w="6112" w:type="dxa"/>
          </w:tcPr>
          <w:p w14:paraId="6E51B1DC" w14:textId="1ED93F39" w:rsidR="00F30326" w:rsidRPr="00F30326" w:rsidRDefault="00040E55" w:rsidP="00E676AB">
            <w:pPr>
              <w:rPr>
                <w:rFonts w:ascii="Times New Roman" w:hAnsi="Times New Roman" w:cs="Times New Roman"/>
                <w:b/>
                <w:bCs/>
                <w:i/>
                <w:color w:val="E97132" w:themeColor="accent2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sz w:val="24"/>
                <w:szCs w:val="24"/>
                <w:lang w:val="vi-VN"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E97132" w:themeColor="accent2"/>
                    <w:sz w:val="24"/>
                    <w:szCs w:val="24"/>
                    <w:lang w:val="vi-VN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E97132" w:themeColor="accent2"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E97132" w:themeColor="accent2"/>
                        <w:sz w:val="24"/>
                        <w:szCs w:val="24"/>
                        <w:lang w:val="vi-VN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E97132" w:themeColor="accent2"/>
                    <w:sz w:val="24"/>
                    <w:szCs w:val="24"/>
                    <w:lang w:val="vi-VN"/>
                  </w:rPr>
                  <m:t>=Σ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E97132" w:themeColor="accent2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E97132" w:themeColor="accent2"/>
                        <w:kern w:val="0"/>
                        <w:sz w:val="24"/>
                        <w:szCs w:val="24"/>
                        <w14:ligatures w14:val="none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E97132" w:themeColor="accent2"/>
                    <w:kern w:val="0"/>
                    <w:sz w:val="24"/>
                    <w:szCs w:val="24"/>
                    <w14:ligatures w14:val="none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E97132" w:themeColor="accent2"/>
                        <w:kern w:val="0"/>
                        <w:sz w:val="24"/>
                        <w:szCs w:val="24"/>
                        <w:lang w:val="vi-VN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E97132" w:themeColor="accent2"/>
                            <w:kern w:val="0"/>
                            <w:sz w:val="24"/>
                            <w:szCs w:val="24"/>
                            <w:lang w:val="vi-VN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E97132" w:themeColor="accent2"/>
                            <w:kern w:val="0"/>
                            <w:sz w:val="24"/>
                            <w:szCs w:val="24"/>
                            <w:lang w:val="vi-VN"/>
                            <w14:ligatures w14:val="none"/>
                          </w:rPr>
                          <m:t>R-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E97132" w:themeColor="accent2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</w:rPr>
                              <m:t>R</m:t>
                            </m:r>
                          </m:e>
                        </m:d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E97132" w:themeColor="accent2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E97132" w:themeColor="accent2"/>
                        <w:kern w:val="0"/>
                        <w:sz w:val="24"/>
                        <w:szCs w:val="24"/>
                        <w14:ligatures w14:val="none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E97132" w:themeColor="accent2"/>
                        <w:kern w:val="0"/>
                        <w:sz w:val="24"/>
                        <w:szCs w:val="24"/>
                        <w:lang w:val="vi-VN"/>
                        <w14:ligatures w14:val="none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E97132" w:themeColor="accent2"/>
                    <w:kern w:val="0"/>
                    <w:sz w:val="24"/>
                    <w:szCs w:val="24"/>
                    <w:lang w:val="vi-VN"/>
                    <w14:ligatures w14:val="none"/>
                  </w:rPr>
                  <m:t>=E[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E97132" w:themeColor="accent2"/>
                        <w:kern w:val="0"/>
                        <w:sz w:val="24"/>
                        <w:szCs w:val="24"/>
                        <w:lang w:val="vi-VN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E97132" w:themeColor="accent2"/>
                            <w:kern w:val="0"/>
                            <w:sz w:val="24"/>
                            <w:szCs w:val="24"/>
                            <w:lang w:val="vi-VN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E97132" w:themeColor="accent2"/>
                            <w:kern w:val="0"/>
                            <w:sz w:val="24"/>
                            <w:szCs w:val="24"/>
                            <w:lang w:val="vi-VN"/>
                            <w14:ligatures w14:val="none"/>
                          </w:rPr>
                          <m:t>R-E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E97132" w:themeColor="accent2"/>
                                <w:kern w:val="0"/>
                                <w:sz w:val="24"/>
                                <w:szCs w:val="24"/>
                                <w:lang w:val="vi-VN"/>
                                <w14:ligatures w14:val="non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E97132" w:themeColor="accent2"/>
                                <w:kern w:val="0"/>
                                <w:sz w:val="24"/>
                                <w:szCs w:val="24"/>
                                <w:lang w:val="vi-VN"/>
                                <w14:ligatures w14:val="none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E97132" w:themeColor="accent2"/>
                        <w:kern w:val="0"/>
                        <w:sz w:val="24"/>
                        <w:szCs w:val="24"/>
                        <w:lang w:val="vi-VN"/>
                        <w14:ligatures w14:val="none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E97132" w:themeColor="accent2"/>
                    <w:kern w:val="0"/>
                    <w:sz w:val="24"/>
                    <w:szCs w:val="24"/>
                    <w:lang w:val="vi-VN"/>
                    <w14:ligatures w14:val="none"/>
                  </w:rPr>
                  <m:t>]</m:t>
                </m:r>
                <m:r>
                  <w:rPr>
                    <w:rFonts w:ascii="Times New Roman" w:eastAsia="Times New Roman" w:hAnsi="Times New Roman" w:cs="Times New Roman"/>
                    <w:b/>
                    <w:bCs/>
                    <w:color w:val="E97132" w:themeColor="accent2"/>
                    <w:kern w:val="0"/>
                    <w:sz w:val="24"/>
                    <w:szCs w:val="24"/>
                    <w:lang w:val="vi-VN"/>
                    <w14:ligatures w14:val="none"/>
                  </w:rPr>
                  <w:br/>
                </m:r>
              </m:oMath>
            </m:oMathPara>
          </w:p>
        </w:tc>
      </w:tr>
      <w:tr w:rsidR="00F30326" w14:paraId="222215F6" w14:textId="77777777" w:rsidTr="00E84DA1">
        <w:trPr>
          <w:trHeight w:val="537"/>
        </w:trPr>
        <w:tc>
          <w:tcPr>
            <w:tcW w:w="6112" w:type="dxa"/>
          </w:tcPr>
          <w:p w14:paraId="7AC63D14" w14:textId="35CCFCFB" w:rsidR="00F30326" w:rsidRPr="00F30326" w:rsidRDefault="00040E55" w:rsidP="00E676AB">
            <w:pP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E97132" w:themeColor="accent2"/>
                <w:sz w:val="24"/>
                <w:szCs w:val="24"/>
                <w:lang w:val="vi-VN"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E97132" w:themeColor="accent2"/>
                    <w:sz w:val="24"/>
                    <w:szCs w:val="24"/>
                    <w:lang w:val="vi-VN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E97132" w:themeColor="accent2"/>
                    <w:sz w:val="24"/>
                    <w:szCs w:val="24"/>
                    <w:lang w:val="vi-VN"/>
                  </w:rPr>
                  <m:t>td.dev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E97132" w:themeColor="accent2"/>
                    <w:sz w:val="24"/>
                    <w:szCs w:val="24"/>
                    <w:lang w:val="vi-VN"/>
                  </w:rPr>
                  <m:t>(R)=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E97132" w:themeColor="accent2"/>
                        <w:sz w:val="24"/>
                        <w:szCs w:val="24"/>
                        <w:lang w:val="vi-V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E97132" w:themeColor="accent2"/>
                        <w:sz w:val="24"/>
                        <w:szCs w:val="24"/>
                        <w:lang w:val="vi-VN"/>
                      </w:rPr>
                      <m:t>Var (R)</m:t>
                    </m:r>
                  </m:e>
                </m:rad>
                <m:r>
                  <w:rPr>
                    <w:rFonts w:ascii="Times New Roman" w:eastAsiaTheme="minorEastAsia" w:hAnsi="Times New Roman" w:cs="Times New Roman"/>
                    <w:b/>
                    <w:bCs/>
                    <w:color w:val="E97132" w:themeColor="accent2"/>
                    <w:sz w:val="24"/>
                    <w:szCs w:val="24"/>
                    <w:lang w:val="vi-VN"/>
                  </w:rPr>
                  <w:br/>
                </m:r>
              </m:oMath>
            </m:oMathPara>
          </w:p>
        </w:tc>
      </w:tr>
    </w:tbl>
    <w:p w14:paraId="579591F1" w14:textId="77777777" w:rsidR="00B64F83" w:rsidRDefault="00B64F83" w:rsidP="0057780F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</w:p>
    <w:p w14:paraId="62DA0E67" w14:textId="62677D27" w:rsidR="00B64F83" w:rsidRPr="00B64F83" w:rsidRDefault="0057780F" w:rsidP="00B64F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4F83">
        <w:rPr>
          <w:rFonts w:ascii="Times New Roman" w:hAnsi="Times New Roman" w:cs="Times New Roman"/>
          <w:sz w:val="24"/>
          <w:szCs w:val="24"/>
          <w:lang w:val="vi-VN"/>
        </w:rPr>
        <w:t>Variance measures how spread out returns are.</w:t>
      </w:r>
      <w:r w:rsidR="00B64F83" w:rsidRPr="00B64F83">
        <w:rPr>
          <w:rFonts w:ascii="Times New Roman" w:hAnsi="Times New Roman" w:cs="Times New Roman"/>
          <w:sz w:val="24"/>
          <w:szCs w:val="24"/>
          <w:lang w:val="vi-VN"/>
        </w:rPr>
        <w:br/>
      </w:r>
    </w:p>
    <w:p w14:paraId="1A65758E" w14:textId="6E9B3738" w:rsidR="00E676AB" w:rsidRDefault="0057780F" w:rsidP="00B64F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64F83">
        <w:rPr>
          <w:rFonts w:ascii="Times New Roman" w:hAnsi="Times New Roman" w:cs="Times New Roman"/>
          <w:sz w:val="24"/>
          <w:szCs w:val="24"/>
          <w:lang w:val="vi-VN"/>
        </w:rPr>
        <w:lastRenderedPageBreak/>
        <w:t>Standard Deviation (Volatility) = root of variance.</w:t>
      </w:r>
      <w:r w:rsidR="00837066">
        <w:rPr>
          <w:rFonts w:ascii="Times New Roman" w:hAnsi="Times New Roman" w:cs="Times New Roman"/>
          <w:sz w:val="24"/>
          <w:szCs w:val="24"/>
          <w:lang w:val="vi-VN"/>
        </w:rPr>
        <w:br/>
      </w:r>
    </w:p>
    <w:p w14:paraId="6527A98E" w14:textId="4F58AD18" w:rsidR="00837066" w:rsidRDefault="00837066" w:rsidP="008370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  <w:sz w:val="24"/>
          <w:szCs w:val="24"/>
          <w:lang w:val="vi-VN"/>
        </w:rPr>
      </w:pPr>
      <w:r w:rsidRPr="00AB2510">
        <w:rPr>
          <w:rFonts w:ascii="Times New Roman" w:hAnsi="Times New Roman" w:cs="Times New Roman"/>
          <w:color w:val="C00000"/>
          <w:sz w:val="24"/>
          <w:szCs w:val="24"/>
        </w:rPr>
        <w:t>These are core measures of risk in portfolio management</w:t>
      </w:r>
      <w:r w:rsidR="0098508B">
        <w:rPr>
          <w:rFonts w:ascii="Times New Roman" w:hAnsi="Times New Roman" w:cs="Times New Roman"/>
          <w:color w:val="C00000"/>
          <w:sz w:val="24"/>
          <w:szCs w:val="24"/>
          <w:lang w:val="vi-VN"/>
        </w:rPr>
        <w:t xml:space="preserve"> (quản lí danh mục đầu tư)</w:t>
      </w:r>
      <w:r w:rsidRPr="00AB2510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556C21CB" w14:textId="180B7CC4" w:rsidR="00243DAD" w:rsidRPr="00243DAD" w:rsidRDefault="00243DAD" w:rsidP="00243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r w:rsidRPr="00243D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Historical Returns: Arithmetic vs. Geometric</w:t>
      </w:r>
    </w:p>
    <w:sectPr w:rsidR="00243DAD" w:rsidRPr="0024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7A97"/>
    <w:multiLevelType w:val="hybridMultilevel"/>
    <w:tmpl w:val="295E5E02"/>
    <w:lvl w:ilvl="0" w:tplc="6C3CA62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C2C64"/>
    <w:multiLevelType w:val="hybridMultilevel"/>
    <w:tmpl w:val="7A4667DA"/>
    <w:lvl w:ilvl="0" w:tplc="14184EE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515C8C"/>
    <w:multiLevelType w:val="hybridMultilevel"/>
    <w:tmpl w:val="D39C8D9A"/>
    <w:lvl w:ilvl="0" w:tplc="3E0A727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C5A67"/>
    <w:multiLevelType w:val="hybridMultilevel"/>
    <w:tmpl w:val="F6F60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3D1112"/>
    <w:multiLevelType w:val="hybridMultilevel"/>
    <w:tmpl w:val="BBAAF780"/>
    <w:lvl w:ilvl="0" w:tplc="6D92DD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887982">
    <w:abstractNumId w:val="0"/>
  </w:num>
  <w:num w:numId="2" w16cid:durableId="1502768219">
    <w:abstractNumId w:val="3"/>
  </w:num>
  <w:num w:numId="3" w16cid:durableId="1266693485">
    <w:abstractNumId w:val="4"/>
  </w:num>
  <w:num w:numId="4" w16cid:durableId="1825008366">
    <w:abstractNumId w:val="1"/>
  </w:num>
  <w:num w:numId="5" w16cid:durableId="1018579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22"/>
    <w:rsid w:val="00040E55"/>
    <w:rsid w:val="000B4118"/>
    <w:rsid w:val="00144573"/>
    <w:rsid w:val="00147F88"/>
    <w:rsid w:val="00165800"/>
    <w:rsid w:val="001D0FBD"/>
    <w:rsid w:val="00243DAD"/>
    <w:rsid w:val="00333BF3"/>
    <w:rsid w:val="003C2E95"/>
    <w:rsid w:val="003E1CE1"/>
    <w:rsid w:val="0057780F"/>
    <w:rsid w:val="007232B5"/>
    <w:rsid w:val="00837066"/>
    <w:rsid w:val="0098508B"/>
    <w:rsid w:val="00A64B22"/>
    <w:rsid w:val="00AB2510"/>
    <w:rsid w:val="00B64F83"/>
    <w:rsid w:val="00B65D66"/>
    <w:rsid w:val="00B92697"/>
    <w:rsid w:val="00BA150C"/>
    <w:rsid w:val="00C557EE"/>
    <w:rsid w:val="00CC2DF9"/>
    <w:rsid w:val="00D05B23"/>
    <w:rsid w:val="00D52E51"/>
    <w:rsid w:val="00DD6298"/>
    <w:rsid w:val="00E40EFA"/>
    <w:rsid w:val="00E676AB"/>
    <w:rsid w:val="00E84DA1"/>
    <w:rsid w:val="00F3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800A"/>
  <w15:chartTrackingRefBased/>
  <w15:docId w15:val="{0756E5F3-07FA-43B7-AC16-06835138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B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5B23"/>
    <w:rPr>
      <w:b/>
      <w:bCs/>
    </w:rPr>
  </w:style>
  <w:style w:type="table" w:styleId="TableGrid">
    <w:name w:val="Table Grid"/>
    <w:basedOn w:val="TableNormal"/>
    <w:uiPriority w:val="39"/>
    <w:rsid w:val="00E67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03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26</cp:revision>
  <dcterms:created xsi:type="dcterms:W3CDTF">2025-07-03T17:16:00Z</dcterms:created>
  <dcterms:modified xsi:type="dcterms:W3CDTF">2025-07-03T18:26:00Z</dcterms:modified>
</cp:coreProperties>
</file>