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m="http://schemas.openxmlformats.org/officeDocument/2006/math" xmlns:r="http://schemas.openxmlformats.org/officeDocument/2006/relationships">
  <w:body>
    <w:p>
      <w:pPr>
        <w:spacing w:before="480" w:after="480" w:line="288" w:lineRule="auto"/>
        <w:ind w:left="0"/>
      </w:pPr>
      <w:r>
        <w:rPr>
          <w:rFonts w:eastAsia="等线" w:ascii="Arial" w:cs="Arial" w:hAnsi="Arial"/>
          <w:b w:val="true"/>
          <w:sz w:val="52"/>
        </w:rPr>
        <w:t>MANN101-SS1-BTTH-Nguyễn Thị Trà Mi</w:t>
      </w:r>
    </w:p>
    <w:p>
      <w:pPr>
        <w:pStyle w:val="3"/>
        <w:spacing w:before="300" w:after="120" w:line="288" w:lineRule="auto"/>
        <w:ind w:left="0"/>
        <w:jc w:val="left"/>
        <w:outlineLvl w:val="2"/>
      </w:pPr>
      <w:bookmarkStart w:name="heading_0" w:id="0"/>
      <w:r>
        <w:rPr>
          <w:rFonts w:eastAsia="等线" w:ascii="Arial" w:cs="Arial" w:hAnsi="Arial"/>
          <w:b w:val="true"/>
          <w:sz w:val="30"/>
        </w:rPr>
        <w:t>TASK 1: Chẩn đoán Khủng hoảng qua Chu trình 4 Chức năng P.O.L.C</w:t>
      </w:r>
      <w:bookmarkEnd w:id="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85"/>
        <w:gridCol w:w="3045"/>
        <w:gridCol w:w="3135"/>
      </w:tblGrid>
      <w:tr>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Chức năng quản trị</w:t>
            </w:r>
          </w:p>
          <w:p>
            <w:pPr>
              <w:spacing w:before="120" w:after="120" w:line="288" w:lineRule="auto"/>
              <w:ind w:left="0"/>
              <w:jc w:val="left"/>
            </w:pP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Triệu chứng khủng hoảng tại An Nam food</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Phân tích điểm nghẽn cốt lõi</w:t>
            </w:r>
          </w:p>
        </w:tc>
      </w:tr>
      <w:tr>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Hoạch định (Planning)</w:t>
            </w:r>
          </w:p>
        </w:tc>
        <w:tc>
          <w:tcPr>
            <w:tcW w:w="3045" w:type="dxa"/>
            <w:tcMar>
              <w:top w:type="dxa" w:w="60"/>
              <w:left w:type="dxa" w:w="120"/>
              <w:bottom w:type="dxa" w:w="30"/>
              <w:right w:type="dxa" w:w="120"/>
            </w:tcMar>
          </w:tcPr>
          <w:p>
            <w:pPr>
              <w:numPr>
                <w:numId w:val="1"/>
              </w:numPr>
              <w:spacing w:before="120" w:after="120" w:line="288" w:lineRule="auto"/>
              <w:ind w:left="0"/>
              <w:jc w:val="left"/>
            </w:pPr>
            <w:r>
              <w:rPr>
                <w:rFonts w:eastAsia="等线" w:ascii="Arial" w:cs="Arial" w:hAnsi="Arial"/>
                <w:sz w:val="22"/>
              </w:rPr>
              <w:t xml:space="preserve">Thiếu chiến lược cạnh tranh dài hạn </w:t>
            </w:r>
          </w:p>
          <w:p>
            <w:pPr>
              <w:numPr>
                <w:numId w:val="2"/>
              </w:numPr>
              <w:spacing w:before="120" w:after="120" w:line="288" w:lineRule="auto"/>
              <w:ind w:left="0"/>
              <w:jc w:val="left"/>
            </w:pPr>
            <w:r>
              <w:rPr>
                <w:rFonts w:eastAsia="等线" w:ascii="Arial" w:cs="Arial" w:hAnsi="Arial"/>
                <w:sz w:val="22"/>
              </w:rPr>
              <w:t>Mở rộng chi nhánh nóng (tăng từ 15 lên 300 điểm bán) nhưng thiếu kế hoạch quản trị rủi ro &amp; dự báo năng lực chuỗi cung ứng.</w:t>
            </w:r>
          </w:p>
          <w:p>
            <w:pPr>
              <w:spacing w:before="120" w:after="120" w:line="288" w:lineRule="auto"/>
              <w:ind w:left="0"/>
              <w:jc w:val="left"/>
            </w:pP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Tập trung vào con số doanh thu bề nổi (tăng 120%) mà thiếu hoạch định chỉ tiêu tài chính ròng và quản trị chi phí.</w:t>
            </w:r>
          </w:p>
          <w:p>
            <w:pPr>
              <w:spacing w:before="120" w:after="120" w:line="288" w:lineRule="auto"/>
              <w:ind w:left="0"/>
              <w:jc w:val="left"/>
            </w:pPr>
            <w:r>
              <w:rPr>
                <w:rFonts w:eastAsia="等线" w:ascii="Arial" w:cs="Arial" w:hAnsi="Arial"/>
                <w:sz w:val="22"/>
              </w:rPr>
              <w:t>• Thiếu định hướng rõ ràng về mục tiêu chất lượng sản phẩm chuẩn mực khi quy mô nhân sự tăng vọt từ 80 lên 420 người.</w:t>
            </w:r>
          </w:p>
        </w:tc>
      </w:tr>
      <w:tr>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Tổ chức (organizing)</w:t>
            </w:r>
          </w:p>
        </w:tc>
        <w:tc>
          <w:tcPr>
            <w:tcW w:w="3045" w:type="dxa"/>
            <w:tcMar>
              <w:top w:type="dxa" w:w="60"/>
              <w:left w:type="dxa" w:w="120"/>
              <w:bottom w:type="dxa" w:w="30"/>
              <w:right w:type="dxa" w:w="120"/>
            </w:tcMar>
          </w:tcPr>
          <w:p>
            <w:pPr>
              <w:numPr>
                <w:numId w:val="3"/>
              </w:numPr>
              <w:spacing w:before="120" w:after="120" w:line="288" w:lineRule="auto"/>
              <w:ind w:left="0"/>
              <w:jc w:val="left"/>
            </w:pPr>
            <w:r>
              <w:rPr>
                <w:rFonts w:eastAsia="等线" w:ascii="Arial" w:cs="Arial" w:hAnsi="Arial"/>
                <w:sz w:val="22"/>
              </w:rPr>
              <w:t xml:space="preserve">Ma trận phân quyền và trách nhiểm (RAIC) mập mờ không phân rõ công việc &amp; trách nhiệm của từng bộ phận </w:t>
            </w:r>
          </w:p>
          <w:p>
            <w:pPr>
              <w:numPr>
                <w:numId w:val="4"/>
              </w:numPr>
              <w:spacing w:before="120" w:after="120" w:line="288" w:lineRule="auto"/>
              <w:ind w:left="0"/>
              <w:jc w:val="left"/>
            </w:pPr>
            <w:r>
              <w:rPr>
                <w:rFonts w:eastAsia="等线" w:ascii="Arial" w:cs="Arial" w:hAnsi="Arial"/>
                <w:sz w:val="22"/>
              </w:rPr>
              <w:t xml:space="preserve">Thiếu quy trình vận hành : không có quy trình kiểm tra đóng gói và kiểm tra hạn sử dụng </w:t>
            </w:r>
          </w:p>
          <w:p>
            <w:pPr>
              <w:numPr>
                <w:numId w:val="5"/>
              </w:numPr>
              <w:spacing w:before="120" w:after="120" w:line="288" w:lineRule="auto"/>
              <w:ind w:left="0"/>
              <w:jc w:val="left"/>
            </w:pPr>
            <w:r>
              <w:rPr>
                <w:rFonts w:eastAsia="等线" w:ascii="Arial" w:cs="Arial" w:hAnsi="Arial"/>
                <w:sz w:val="22"/>
              </w:rPr>
              <w:t>Phân bổ nguồn lực lệch : tập trung vào tiền vốn mở chi nhánh mà không tập trung vào khâu vận hành và khâu kiểm soát đồ</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Cơ cấu tổ chức thiếu cơ chế phân quyền và phối hợp liên chức năng (Cross-functional collaboration).</w:t>
            </w:r>
          </w:p>
          <w:p>
            <w:pPr>
              <w:spacing w:before="120" w:after="120" w:line="288" w:lineRule="auto"/>
              <w:ind w:left="0"/>
              <w:jc w:val="left"/>
            </w:pPr>
            <w:r>
              <w:rPr>
                <w:rFonts w:eastAsia="等线" w:ascii="Arial" w:cs="Arial" w:hAnsi="Arial"/>
                <w:sz w:val="22"/>
              </w:rPr>
              <w:t>• Sự đứt gãy thông tin giữa sản xuất - kho vận - kinh doanh dẫn đến tỷ lệ hàng hoàn trả lỗi bao bì, cận hạn sử dụng lên tới 14%.</w:t>
            </w:r>
          </w:p>
        </w:tc>
      </w:tr>
      <w:tr>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Lãnh đạo (leading)</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Tỷ lệ biến động nhân sự (turnover rate) ở khối sản xuất và bán hàng chạm mức 38%/năm.</w:t>
            </w:r>
          </w:p>
          <w:p>
            <w:pPr>
              <w:spacing w:before="120" w:after="120" w:line="288" w:lineRule="auto"/>
              <w:ind w:left="0"/>
              <w:jc w:val="left"/>
            </w:pPr>
            <w:r>
              <w:rPr>
                <w:rFonts w:eastAsia="等线" w:ascii="Arial" w:cs="Arial" w:hAnsi="Arial"/>
                <w:sz w:val="22"/>
              </w:rPr>
              <w:t>• Phong cấp quản lý theo lối áp đặt: Quản đốc la mắng, ép tăng ca.</w:t>
            </w:r>
          </w:p>
          <w:p>
            <w:pPr>
              <w:spacing w:before="120" w:after="120" w:line="288" w:lineRule="auto"/>
              <w:ind w:left="0"/>
              <w:jc w:val="left"/>
            </w:pPr>
            <w:r>
              <w:rPr>
                <w:rFonts w:eastAsia="等线" w:ascii="Arial" w:cs="Arial" w:hAnsi="Arial"/>
                <w:sz w:val="22"/>
              </w:rPr>
              <w:t>• Thiếu truyền thông tầm nhìn và tạo động lực tích cực.</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Sử dụng phong cách lãnh đạo độc đoán (Autocratic Style) thiếu tôn trọng người lao động.</w:t>
            </w:r>
          </w:p>
          <w:p>
            <w:pPr>
              <w:spacing w:before="120" w:after="120" w:line="288" w:lineRule="auto"/>
              <w:ind w:left="0"/>
              <w:jc w:val="left"/>
            </w:pPr>
            <w:r>
              <w:rPr>
                <w:rFonts w:eastAsia="等线" w:ascii="Arial" w:cs="Arial" w:hAnsi="Arial"/>
                <w:sz w:val="22"/>
              </w:rPr>
              <w:t>• Lãnh đạo cấp cao (CEO tiền nhiệm) sa đà vào tác nghiệp chuyên môn (pha chế công thức), bỏ ngỏ vai trò truyền cảm hứng và định hình văn hóa doanh nghiệp.</w:t>
            </w:r>
          </w:p>
        </w:tc>
      </w:tr>
      <w:tr>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Kiểm soát (controlling)</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Chi phí vận hành, logistics và quản lý tăng vọt 210%.</w:t>
            </w:r>
          </w:p>
          <w:p>
            <w:pPr>
              <w:spacing w:before="120" w:after="120" w:line="288" w:lineRule="auto"/>
              <w:ind w:left="0"/>
              <w:jc w:val="left"/>
            </w:pPr>
            <w:r>
              <w:rPr>
                <w:rFonts w:eastAsia="等线" w:ascii="Arial" w:cs="Arial" w:hAnsi="Arial"/>
                <w:sz w:val="22"/>
              </w:rPr>
              <w:t>• Tỷ lệ hàng hoàn trả do lỗi bao bì, cận hạn sử dụng lên 14% (chuẩn ngành &lt; 2%).</w:t>
            </w:r>
          </w:p>
          <w:p>
            <w:pPr>
              <w:spacing w:before="120" w:after="120" w:line="288" w:lineRule="auto"/>
              <w:ind w:left="0"/>
              <w:jc w:val="left"/>
            </w:pPr>
            <w:r>
              <w:rPr>
                <w:rFonts w:eastAsia="等线" w:ascii="Arial" w:cs="Arial" w:hAnsi="Arial"/>
                <w:sz w:val="22"/>
              </w:rPr>
              <w:t>• Lợi nhuận ròng giảm 65%.</w:t>
            </w:r>
          </w:p>
        </w:tc>
        <w:tc>
          <w:tcPr>
            <w:tcW w:w="31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Thiếu hệ thống quản lý chất lượng (TQM/ISO) và KPI kiểm soát chi phí/chất lượng sản phẩm.</w:t>
            </w:r>
          </w:p>
          <w:p>
            <w:pPr>
              <w:spacing w:before="120" w:after="120" w:line="288" w:lineRule="auto"/>
              <w:ind w:left="0"/>
              <w:jc w:val="left"/>
            </w:pPr>
            <w:r>
              <w:rPr>
                <w:rFonts w:eastAsia="等线" w:ascii="Arial" w:cs="Arial" w:hAnsi="Arial"/>
                <w:sz w:val="22"/>
              </w:rPr>
              <w:t>• Thiếu hệ thống cảnh báo sớm (Early Warning System) đối với hàng tồn kho cận hạn và kiểm soát lỗi bao bì tại dây chuyền</w:t>
            </w:r>
          </w:p>
        </w:tc>
      </w:tr>
    </w:tbl>
    <w:p>
      <w:pPr>
        <w:pStyle w:val="3"/>
        <w:spacing w:before="300" w:after="120" w:line="288" w:lineRule="auto"/>
        <w:ind w:left="0"/>
        <w:jc w:val="left"/>
        <w:outlineLvl w:val="2"/>
      </w:pPr>
      <w:bookmarkStart w:name="heading_1" w:id="1"/>
      <w:r>
        <w:rPr>
          <w:rFonts w:eastAsia="等线" w:ascii="Arial" w:cs="Arial" w:hAnsi="Arial"/>
          <w:b w:val="true"/>
          <w:sz w:val="30"/>
        </w:rPr>
        <w:t>TASK 2: Ma trận Phân bổ 3 Nhóm Kỹ năng Quản trị (Mô hình Robert L. Katz)</w:t>
      </w:r>
      <w:bookmarkEnd w:id="1"/>
    </w:p>
    <w:p>
      <w:pPr>
        <w:pStyle w:val="4"/>
        <w:spacing w:before="260" w:after="120" w:line="288" w:lineRule="auto"/>
        <w:ind w:left="0"/>
        <w:jc w:val="left"/>
        <w:outlineLvl w:val="3"/>
      </w:pPr>
      <w:bookmarkStart w:name="heading_2" w:id="2"/>
      <w:r>
        <w:rPr>
          <w:rFonts w:eastAsia="等线" w:ascii="Arial" w:cs="Arial" w:hAnsi="Arial"/>
          <w:color w:val="3370ff"/>
          <w:sz w:val="28"/>
        </w:rPr>
        <w:t xml:space="preserve">1. </w:t>
      </w:r>
      <w:r>
        <w:rPr>
          <w:rFonts w:eastAsia="等线" w:ascii="Arial" w:cs="Arial" w:hAnsi="Arial"/>
          <w:b w:val="true"/>
          <w:sz w:val="28"/>
        </w:rPr>
        <w:t>Phân tích Sai lầm của CEO Tiền nhiệm</w:t>
      </w:r>
      <w:bookmarkEnd w:id="2"/>
    </w:p>
    <w:p>
      <w:pPr>
        <w:numPr>
          <w:numId w:val="6"/>
        </w:numPr>
        <w:spacing w:before="120" w:after="120" w:line="288" w:lineRule="auto"/>
        <w:ind w:left="0"/>
        <w:jc w:val="left"/>
      </w:pPr>
      <w:r>
        <w:rPr>
          <w:rFonts w:eastAsia="等线" w:ascii="Arial" w:cs="Arial" w:hAnsi="Arial"/>
          <w:sz w:val="22"/>
        </w:rPr>
        <w:t>Sai lầm cốt lõi: Dành quá nhiều thời gian cho Kỹ năng Kỹ thuật (Technical Skills) (trực tiếp pha chế công thức tại xưởng) – vốn là kỹ năng trọng tâm của nhà quản trị cấp cơ sở/chuyên gia sản xuất.</w:t>
      </w:r>
    </w:p>
    <w:p>
      <w:pPr>
        <w:numPr>
          <w:numId w:val="7"/>
        </w:numPr>
        <w:spacing w:before="120" w:after="120" w:line="288" w:lineRule="auto"/>
        <w:ind w:left="0"/>
        <w:jc w:val="left"/>
      </w:pPr>
      <w:r>
        <w:rPr>
          <w:rFonts w:eastAsia="等线" w:ascii="Arial" w:cs="Arial" w:hAnsi="Arial"/>
          <w:sz w:val="22"/>
        </w:rPr>
        <w:t>Hậu quả: CEO đã bỏ trống hoàn toàn Kỹ năng Tư duy (Conceptual Skills) (xây dựng hệ thống quy chế, chiến lược cạnh tranh, KPI) và Kỹ năng Nhân sự (Human Skills) (giải quyết xung đột phòng ban, định hướng phong cách quản lý cho cấp dưới).</w:t>
      </w:r>
    </w:p>
    <w:p>
      <w:pPr>
        <w:pStyle w:val="4"/>
        <w:spacing w:before="260" w:after="120" w:line="288" w:lineRule="auto"/>
        <w:ind w:left="0"/>
        <w:jc w:val="left"/>
        <w:outlineLvl w:val="3"/>
      </w:pPr>
      <w:bookmarkStart w:name="heading_3" w:id="3"/>
      <w:r>
        <w:rPr>
          <w:rFonts w:eastAsia="等线" w:ascii="Arial" w:cs="Arial" w:hAnsi="Arial"/>
          <w:color w:val="3370ff"/>
          <w:sz w:val="28"/>
        </w:rPr>
        <w:t xml:space="preserve">2. </w:t>
      </w:r>
      <w:r>
        <w:rPr>
          <w:rFonts w:eastAsia="等线" w:ascii="Arial" w:cs="Arial" w:hAnsi="Arial"/>
          <w:b w:val="true"/>
          <w:sz w:val="28"/>
        </w:rPr>
        <w:t>Ma trận Tỷ trọng Kỹ năng Chuẩn mực cho 3 Cấp bậc tại An Nam Food</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00"/>
        <w:gridCol w:w="1200"/>
        <w:gridCol w:w="1200"/>
        <w:gridCol w:w="1200"/>
        <w:gridCol w:w="3480"/>
      </w:tblGrid>
      <w:tr>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Cấp bậc quản trị</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Kỹ năng kỹ thuật</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Kỹ năng nhân sự</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Kỹ năng tư duy</w:t>
            </w:r>
          </w:p>
        </w:tc>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Diễn giải trọng tâm</w:t>
            </w:r>
          </w:p>
        </w:tc>
      </w:tr>
      <w:tr>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Cấp cao</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Tập trung hoạch định chiến lược, thiết kế bộ máy tổ chức, định hình văn hóa và kết nối đối ngoại.</w:t>
            </w:r>
          </w:p>
        </w:tc>
      </w:tr>
      <w:tr>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Cấp trung</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w:t>
            </w:r>
          </w:p>
        </w:tc>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Làm cầu nối chuyển hóa chiến lược thành kế hoạch hành động, điều phối liên phòng ban, quản lý đội ngũ</w:t>
            </w:r>
          </w:p>
        </w:tc>
      </w:tr>
      <w:tr>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Cấp cơ sở</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45%</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3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Hướng dẫn thao tác kỹ thuật, kiểm soát dây chuyền/điểm bán, động viên và quản lý trực tiếp công nhân/nhân viên</w:t>
            </w:r>
          </w:p>
        </w:tc>
      </w:tr>
    </w:tbl>
    <w:p>
      <w:pPr>
        <w:pStyle w:val="4"/>
        <w:spacing w:before="260" w:after="120" w:line="288" w:lineRule="auto"/>
        <w:ind w:left="0"/>
        <w:jc w:val="left"/>
        <w:outlineLvl w:val="3"/>
      </w:pPr>
      <w:bookmarkStart w:name="heading_4" w:id="4"/>
      <w:r>
        <w:rPr>
          <w:rFonts w:eastAsia="等线" w:ascii="Arial" w:cs="Arial" w:hAnsi="Arial"/>
          <w:color w:val="3370ff"/>
          <w:sz w:val="28"/>
        </w:rPr>
        <w:t xml:space="preserve">3. </w:t>
      </w:r>
      <w:r>
        <w:rPr>
          <w:rFonts w:eastAsia="等线" w:ascii="Arial" w:cs="Arial" w:hAnsi="Arial"/>
          <w:b w:val="true"/>
          <w:sz w:val="28"/>
        </w:rPr>
        <w:t>Khuyến nghị Đào tạo cho Đội ngũ Quản đốc Phân xưởng</w:t>
      </w:r>
      <w:bookmarkEnd w:id="4"/>
    </w:p>
    <w:p>
      <w:pPr>
        <w:numPr>
          <w:numId w:val="8"/>
        </w:numPr>
        <w:spacing w:before="120" w:after="120" w:line="288" w:lineRule="auto"/>
        <w:ind w:left="0"/>
        <w:jc w:val="left"/>
      </w:pPr>
      <w:r>
        <w:rPr>
          <w:rFonts w:eastAsia="等线" w:ascii="Arial" w:cs="Arial" w:hAnsi="Arial"/>
          <w:sz w:val="22"/>
        </w:rPr>
        <w:t>Khóa đào tạo "Lãnh đạo bằng Sự Tôn trọng &amp; Trí tuệ Cảm xúc (EQ)": Thay thế phong cách "la mắng, ép buộc" bằng kỹ thuật lắng nghe, phản hồi tích cực (Feedback Model) và quản lý căng thẳng nhằm giảm ngay tỷ lệ nghỉ việc 38%.</w:t>
      </w:r>
    </w:p>
    <w:p>
      <w:pPr>
        <w:numPr>
          <w:numId w:val="9"/>
        </w:numPr>
        <w:spacing w:before="120" w:after="120" w:line="288" w:lineRule="auto"/>
        <w:ind w:left="0"/>
        <w:jc w:val="left"/>
      </w:pPr>
      <w:r>
        <w:rPr>
          <w:rFonts w:eastAsia="等线" w:ascii="Arial" w:cs="Arial" w:hAnsi="Arial"/>
          <w:sz w:val="22"/>
        </w:rPr>
        <w:t>Đào tạo "Quy trình Quản lý Lao động &amp; Phân công Công việc Chuẩn (SOP)": Trang bị kỹ năng lập kế hoạch ca sản xuất, phân bổ khối lượng công việc cân bằng để hạn chế việc ép tăng ca đột xuất thiếu kiểm soát.</w:t>
      </w:r>
    </w:p>
    <w:p>
      <w:pPr>
        <w:pStyle w:val="3"/>
        <w:spacing w:before="300" w:after="120" w:line="288" w:lineRule="auto"/>
        <w:ind w:left="0"/>
        <w:jc w:val="left"/>
        <w:outlineLvl w:val="2"/>
      </w:pPr>
      <w:bookmarkStart w:name="heading_5" w:id="5"/>
      <w:r>
        <w:rPr>
          <w:rFonts w:eastAsia="等线" w:ascii="Arial" w:cs="Arial" w:hAnsi="Arial"/>
          <w:b w:val="true"/>
          <w:sz w:val="30"/>
        </w:rPr>
        <w:t>TASK 3: Phân tích Nghịch lý Hiệu suất vs Hiệu quả &amp; Bộ Chỉ số KPI Cân bằng</w:t>
      </w:r>
      <w:bookmarkEnd w:id="5"/>
    </w:p>
    <w:p>
      <w:pPr>
        <w:pStyle w:val="4"/>
        <w:spacing w:before="260" w:after="120" w:line="288" w:lineRule="auto"/>
        <w:ind w:left="0"/>
        <w:jc w:val="left"/>
        <w:outlineLvl w:val="3"/>
      </w:pPr>
      <w:bookmarkStart w:name="heading_6" w:id="6"/>
      <w:r>
        <w:rPr>
          <w:rFonts w:eastAsia="等线" w:ascii="Arial" w:cs="Arial" w:hAnsi="Arial"/>
          <w:b w:val="true"/>
          <w:sz w:val="28"/>
        </w:rPr>
        <w:t>1. Giải thích Nghịch lý Tài chính</w:t>
      </w:r>
      <w:bookmarkEnd w:id="6"/>
    </w:p>
    <w:p>
      <w:pPr>
        <w:spacing w:before="120" w:after="120" w:line="288" w:lineRule="auto"/>
        <w:ind w:left="0"/>
        <w:jc w:val="left"/>
      </w:pPr>
      <w:r>
        <w:rPr>
          <w:rFonts w:eastAsia="等线" w:ascii="Arial" w:cs="Arial" w:hAnsi="Arial"/>
          <w:sz w:val="22"/>
        </w:rPr>
        <w:t xml:space="preserve">An Nam Food đang rơi vào trạng thái: </w:t>
      </w:r>
      <w:r>
        <w:rPr>
          <w:rFonts w:eastAsia="等线" w:ascii="Arial" w:cs="Arial" w:hAnsi="Arial"/>
          <w:b w:val="true"/>
          <w:sz w:val="22"/>
        </w:rPr>
        <w:t>"Có Hiệu quả nhưng Kém Hiệu suất" (Effective but Inefficient)</w:t>
      </w:r>
      <w:r>
        <w:rPr>
          <w:rFonts w:eastAsia="等线" w:ascii="Arial" w:cs="Arial" w:hAnsi="Arial"/>
          <w:sz w:val="22"/>
        </w:rPr>
        <w:t>.</w:t>
      </w:r>
    </w:p>
    <w:p>
      <w:pPr>
        <w:numPr>
          <w:numId w:val="10"/>
        </w:numPr>
        <w:spacing w:before="120" w:after="120" w:line="288" w:lineRule="auto"/>
        <w:ind w:left="0"/>
        <w:jc w:val="left"/>
      </w:pPr>
      <w:r>
        <w:rPr>
          <w:rFonts w:eastAsia="等线" w:ascii="Arial" w:cs="Arial" w:hAnsi="Arial"/>
          <w:b w:val="true"/>
          <w:sz w:val="22"/>
        </w:rPr>
        <w:t>Tính Hiệu quả (Effectiveness - Làm đúng việc):</w:t>
      </w:r>
      <w:r>
        <w:rPr>
          <w:rFonts w:eastAsia="等线" w:ascii="Arial" w:cs="Arial" w:hAnsi="Arial"/>
          <w:sz w:val="22"/>
        </w:rPr>
        <w:t xml:space="preserve"> Công ty đã đạt mục tiêu mở rộng thị trường và tăng trưởng doanh thu (Doanh thu tăng 120%, phủ 300 điểm bán).</w:t>
      </w:r>
    </w:p>
    <w:p>
      <w:pPr>
        <w:numPr>
          <w:numId w:val="11"/>
        </w:numPr>
        <w:spacing w:before="120" w:after="120" w:line="288" w:lineRule="auto"/>
        <w:ind w:left="0"/>
        <w:jc w:val="left"/>
      </w:pPr>
      <w:r>
        <w:rPr>
          <w:rFonts w:eastAsia="等线" w:ascii="Arial" w:cs="Arial" w:hAnsi="Arial"/>
          <w:b w:val="true"/>
          <w:sz w:val="22"/>
        </w:rPr>
        <w:t>Tính Hiệu suất (Efficiency - Làm việc đúng cách / Tối ưu nguồn lực):</w:t>
      </w:r>
      <w:r>
        <w:rPr>
          <w:rFonts w:eastAsia="等线" w:ascii="Arial" w:cs="Arial" w:hAnsi="Arial"/>
          <w:sz w:val="22"/>
        </w:rPr>
        <w:t xml:space="preserve"> Công ty thất bại nghiêm trọng trong việc sử dụng chi phí và tài nguyên (Chi phí vận hành tăng 210%, lãng phí 14% do hàng lỗi/hoàn trả, lợi nhuận sụt giảm 65%).</w:t>
      </w:r>
    </w:p>
    <w:p>
      <w:pPr>
        <w:pStyle w:val="4"/>
        <w:spacing w:before="260" w:after="120" w:line="288" w:lineRule="auto"/>
        <w:ind w:left="0"/>
        <w:jc w:val="left"/>
        <w:outlineLvl w:val="3"/>
      </w:pPr>
      <w:bookmarkStart w:name="heading_7" w:id="7"/>
      <w:r>
        <w:rPr>
          <w:rFonts w:eastAsia="等线" w:ascii="Arial" w:cs="Arial" w:hAnsi="Arial"/>
          <w:color w:val="3370ff"/>
          <w:sz w:val="28"/>
        </w:rPr>
        <w:t xml:space="preserve">4. </w:t>
      </w:r>
      <w:r>
        <w:rPr>
          <w:rFonts w:eastAsia="等线" w:ascii="Arial" w:cs="Arial" w:hAnsi="Arial"/>
          <w:b w:val="true"/>
          <w:sz w:val="28"/>
        </w:rPr>
        <w:t>Bộ 4 Chỉ số KPI Cân bằng cho Năm Tài chính Tiếp theo/</w:t>
      </w:r>
      <w:bookmarkEnd w:id="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90"/>
        <w:gridCol w:w="1350"/>
        <w:gridCol w:w="2190"/>
        <w:gridCol w:w="2865"/>
      </w:tblGrid>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Nhóm KPI</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Chỉ số kpi</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Công thức</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Mục tiêu</w:t>
            </w:r>
          </w:p>
        </w:tc>
      </w:tr>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Hiệu quả</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Tỷ lệ phủ sóng điểm bán hiệu quả </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(Số điểm bán đạt doanh thu/ tổng số điểm bán) *100%</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Đạt </w:t>
            </w:r>
            <w:r>
              <w:rPr>
                <w:rFonts w:eastAsia="等线" w:ascii="Arial" w:cs="Arial" w:hAnsi="Arial"/>
                <w:sz w:val="22"/>
              </w:rPr>
            </w:r>
            <m:oMathPara>
              <m:oMathParaPr>
                <m:jc m:val="left"/>
              </m:oMathParaPr>
              <m:oMath xmlns:mml="http://www.w3.org/1998/Math/MathML">
                <m:r>
                  <w:rPr>
                    <w:rFonts w:ascii="Cambria Math" w:hAnsi="Cambria Math"/>
                  </w:rPr>
                  <m:t>≥85</m:t>
                </m:r>
                <m:r>
                  <m:rPr>
                    <m:sty m:val="p"/>
                  </m:rPr>
                  <w:rPr>
                    <w:rFonts w:ascii="Cambria Math" w:hAnsi="Cambria Math"/>
                  </w:rPr>
                  <m:t>%</m:t>
                </m:r>
              </m:oMath>
            </m:oMathPara>
            <w:r>
              <w:rPr>
                <w:rFonts w:eastAsia="等线" w:ascii="Arial" w:cs="Arial" w:hAnsi="Arial"/>
                <w:sz w:val="22"/>
              </w:rPr>
              <w:t xml:space="preserve"> số điểm bán phát sinh đơn hàng đều đặn và có lợi nhuận.</w:t>
            </w:r>
          </w:p>
        </w:tc>
      </w:tr>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Hiệu quả</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Chỉ số hài lòng của khách hàng &amp; đối tác</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(Số khảo sát hài lòng (4*/5*)/ tổng số khảo sát thu về )*100%</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Đạt </w:t>
            </w:r>
            <w:r>
              <w:rPr>
                <w:rFonts w:eastAsia="等线" w:ascii="Arial" w:cs="Arial" w:hAnsi="Arial"/>
                <w:sz w:val="22"/>
              </w:rPr>
            </w:r>
            <m:oMathPara>
              <m:oMathParaPr>
                <m:jc m:val="left"/>
              </m:oMathParaPr>
              <m:oMath xmlns:mml="http://www.w3.org/1998/Math/MathML">
                <m:r>
                  <w:rPr>
                    <w:rFonts w:ascii="Cambria Math" w:hAnsi="Cambria Math"/>
                  </w:rPr>
                  <m:t>≥90</m:t>
                </m:r>
                <m:r>
                  <m:rPr>
                    <m:sty m:val="p"/>
                  </m:rPr>
                  <w:rPr>
                    <w:rFonts w:ascii="Cambria Math" w:hAnsi="Cambria Math"/>
                  </w:rPr>
                  <m:t>%</m:t>
                </m:r>
              </m:oMath>
            </m:oMathPara>
            <w:r>
              <w:rPr>
                <w:rFonts w:eastAsia="等线" w:ascii="Arial" w:cs="Arial" w:hAnsi="Arial"/>
                <w:sz w:val="22"/>
              </w:rPr>
              <w:t xml:space="preserve"> mức độ hài lòng từ các hệ thống siêu thị và điểm bán</w:t>
            </w:r>
          </w:p>
        </w:tc>
      </w:tr>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Hiệu suất</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Tỷ lệ hàng bị hoàn trả</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(Số hàng hoàn trả / Số hàng xuất bán )*100%</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Giảm từ </w:t>
            </w:r>
            <w:r>
              <w:rPr>
                <w:rFonts w:eastAsia="等线" w:ascii="Arial" w:cs="Arial" w:hAnsi="Arial"/>
                <w:sz w:val="22"/>
              </w:rPr>
            </w:r>
            <m:oMathPara>
              <m:oMathParaPr>
                <m:jc m:val="left"/>
              </m:oMathParaPr>
              <m:oMath xmlns:mml="http://www.w3.org/1998/Math/MathML">
                <m:r>
                  <w:rPr>
                    <w:rFonts w:ascii="Cambria Math" w:hAnsi="Cambria Math"/>
                  </w:rPr>
                  <m:t>14</m:t>
                </m:r>
                <m:r>
                  <m:rPr>
                    <m:sty m:val="p"/>
                  </m:rPr>
                  <w:rPr>
                    <w:rFonts w:ascii="Cambria Math" w:hAnsi="Cambria Math"/>
                  </w:rPr>
                  <m:t>%</m:t>
                </m:r>
              </m:oMath>
            </m:oMathPara>
            <w:r>
              <w:rPr>
                <w:rFonts w:eastAsia="等线" w:ascii="Arial" w:cs="Arial" w:hAnsi="Arial"/>
                <w:sz w:val="22"/>
              </w:rPr>
              <w:t xml:space="preserve"> xuống </w:t>
            </w:r>
            <w:r>
              <w:rPr>
                <w:rFonts w:eastAsia="等线" w:ascii="Arial" w:cs="Arial" w:hAnsi="Arial"/>
                <w:sz w:val="22"/>
              </w:rPr>
            </w:r>
            <m:oMathPara>
              <m:oMathParaPr>
                <m:jc m:val="left"/>
              </m:oMathParaPr>
              <m:oMath xmlns:mml="http://www.w3.org/1998/Math/MathML">
                <m:r>
                  <w:rPr>
                    <w:rFonts w:ascii="Cambria Math" w:hAnsi="Cambria Math"/>
                  </w:rPr>
                  <m:t>≤2.0</m:t>
                </m:r>
                <m:r>
                  <m:rPr>
                    <m:sty m:val="p"/>
                  </m:rPr>
                  <w:rPr>
                    <w:rFonts w:ascii="Cambria Math" w:hAnsi="Cambria Math"/>
                  </w:rPr>
                  <m:t>%</m:t>
                </m:r>
              </m:oMath>
            </m:oMathPara>
            <w:r>
              <w:rPr>
                <w:rFonts w:eastAsia="等线" w:ascii="Arial" w:cs="Arial" w:hAnsi="Arial"/>
                <w:sz w:val="22"/>
              </w:rPr>
              <w:t xml:space="preserve"> (tiêu chuẩn ngành).</w:t>
            </w:r>
          </w:p>
        </w:tc>
      </w:tr>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Hiệu suất</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Tỷ lệ chi phí vận hành trên doanh thu </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(Tổng chi phí vận hành+Logistics +QLDN/ tổng doanh thu thuần )*100%</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Giảm từ mức bùng nổ hiện tại xuống mốc </w:t>
            </w:r>
            <w:r>
              <w:rPr>
                <w:rFonts w:eastAsia="等线" w:ascii="Arial" w:cs="Arial" w:hAnsi="Arial"/>
                <w:sz w:val="22"/>
              </w:rPr>
            </w:r>
            <m:oMathPara>
              <m:oMathParaPr>
                <m:jc m:val="left"/>
              </m:oMathParaPr>
              <m:oMath xmlns:mml="http://www.w3.org/1998/Math/MathML">
                <m:r>
                  <w:rPr>
                    <w:rFonts w:ascii="Cambria Math" w:hAnsi="Cambria Math"/>
                  </w:rPr>
                  <m:t>≤25</m:t>
                </m:r>
                <m:r>
                  <m:rPr>
                    <m:sty m:val="p"/>
                  </m:rPr>
                  <w:rPr>
                    <w:rFonts w:ascii="Cambria Math" w:hAnsi="Cambria Math"/>
                  </w:rPr>
                  <m:t>%</m:t>
                </m:r>
              </m:oMath>
            </m:oMathPara>
            <w:r>
              <w:rPr>
                <w:rFonts w:eastAsia="等线" w:ascii="Arial" w:cs="Arial" w:hAnsi="Arial"/>
                <w:sz w:val="22"/>
              </w:rPr>
              <w:t xml:space="preserve"> doanh thu.</w:t>
            </w:r>
          </w:p>
        </w:tc>
      </w:tr>
    </w:tbl>
    <w:p>
      <w:pPr>
        <w:pStyle w:val="2"/>
        <w:spacing w:before="320" w:after="120" w:line="288" w:lineRule="auto"/>
        <w:ind w:left="0"/>
        <w:jc w:val="left"/>
        <w:outlineLvl w:val="1"/>
      </w:pPr>
      <w:bookmarkStart w:name="heading_8" w:id="8"/>
      <w:r>
        <w:rPr>
          <w:rFonts w:eastAsia="等线" w:ascii="Arial" w:cs="Arial" w:hAnsi="Arial"/>
          <w:b w:val="true"/>
          <w:sz w:val="32"/>
        </w:rPr>
        <w:t>TASK 3: Phân tích Nghịch lý Hiệu suất vs Hiệu quả &amp; Bộ Chỉ số KPI Cân bằng (2.5 Điểm)</w:t>
      </w:r>
      <w:bookmarkEnd w:id="8"/>
    </w:p>
    <w:p>
      <w:pPr>
        <w:pStyle w:val="3"/>
        <w:spacing w:before="300" w:after="120" w:line="288" w:lineRule="auto"/>
        <w:ind w:left="0"/>
        <w:jc w:val="left"/>
        <w:outlineLvl w:val="2"/>
      </w:pPr>
      <w:bookmarkStart w:name="heading_9" w:id="9"/>
      <w:r>
        <w:rPr>
          <w:rFonts w:eastAsia="等线" w:ascii="Arial" w:cs="Arial" w:hAnsi="Arial"/>
          <w:color w:val="3370ff"/>
          <w:sz w:val="30"/>
        </w:rPr>
        <w:t xml:space="preserve">1. </w:t>
      </w:r>
      <w:r>
        <w:rPr>
          <w:rFonts w:eastAsia="等线" w:ascii="Arial" w:cs="Arial" w:hAnsi="Arial"/>
          <w:b w:val="true"/>
          <w:sz w:val="30"/>
        </w:rPr>
        <w:t>Phân tích Nghịch lý Tài chính</w:t>
      </w:r>
      <w:bookmarkEnd w:id="9"/>
    </w:p>
    <w:p>
      <w:pPr>
        <w:spacing w:before="120" w:after="120" w:line="288" w:lineRule="auto"/>
        <w:ind w:left="0"/>
        <w:jc w:val="left"/>
      </w:pPr>
      <w:r>
        <w:rPr>
          <w:rFonts w:eastAsia="等线" w:ascii="Arial" w:cs="Arial" w:hAnsi="Arial"/>
          <w:sz w:val="22"/>
        </w:rPr>
        <w:t xml:space="preserve">An Nam Food đang ở trạng thái: </w:t>
      </w:r>
      <w:r>
        <w:rPr>
          <w:rFonts w:eastAsia="等线" w:ascii="Arial" w:cs="Arial" w:hAnsi="Arial"/>
          <w:b w:val="true"/>
          <w:sz w:val="22"/>
        </w:rPr>
        <w:t>"Hiệu quả nhưng Kém Hiệu suất" (Effective but Inefficient)</w:t>
      </w:r>
      <w:r>
        <w:rPr>
          <w:rFonts w:eastAsia="等线" w:ascii="Arial" w:cs="Arial" w:hAnsi="Arial"/>
          <w:sz w:val="22"/>
        </w:rPr>
        <w:t>.</w:t>
      </w:r>
    </w:p>
    <w:p>
      <w:pPr>
        <w:numPr>
          <w:numId w:val="12"/>
        </w:numPr>
        <w:spacing w:before="120" w:after="120" w:line="288" w:lineRule="auto"/>
        <w:ind w:left="0"/>
        <w:jc w:val="left"/>
      </w:pPr>
      <w:r>
        <w:rPr>
          <w:rFonts w:eastAsia="等线" w:ascii="Arial" w:cs="Arial" w:hAnsi="Arial"/>
          <w:b w:val="true"/>
          <w:sz w:val="22"/>
        </w:rPr>
        <w:t>Tính Hiệu quả (Effectiveness - "Làm đúng việc"):</w:t>
      </w:r>
      <w:r>
        <w:rPr>
          <w:rFonts w:eastAsia="等线" w:ascii="Arial" w:cs="Arial" w:hAnsi="Arial"/>
          <w:sz w:val="22"/>
        </w:rPr>
        <w:t xml:space="preserve"> Công ty đã thành công trong việc mở rộng thị phần, tiếp cận khách hàng và gia tăng bao phủ (Doanh thu đạt 250 tỷ VNĐ).</w:t>
      </w:r>
    </w:p>
    <w:p>
      <w:pPr>
        <w:numPr>
          <w:numId w:val="13"/>
        </w:numPr>
        <w:spacing w:before="120" w:after="120" w:line="288" w:lineRule="auto"/>
        <w:ind w:left="0"/>
        <w:jc w:val="left"/>
      </w:pPr>
      <w:r>
        <w:rPr>
          <w:rFonts w:eastAsia="等线" w:ascii="Arial" w:cs="Arial" w:hAnsi="Arial"/>
          <w:b w:val="true"/>
          <w:sz w:val="22"/>
        </w:rPr>
        <w:t>Tính Hiệu suất (Efficiency - "Làm việc đúng cách"):</w:t>
      </w:r>
      <w:r>
        <w:rPr>
          <w:rFonts w:eastAsia="等线" w:ascii="Arial" w:cs="Arial" w:hAnsi="Arial"/>
          <w:sz w:val="22"/>
        </w:rPr>
        <w:t xml:space="preserve"> Công ty thất bại nghiêm trọng trong việc tối ưu hóa chi phí đầu vào/đầu ra. Việc để chi phí tăng 210% và hàng lỗi 14% cho thấy cỗ máy vận hành đang "đốt tiền" để đổi lấy doanh thu.</w:t>
      </w:r>
    </w:p>
    <w:p>
      <w:pPr>
        <w:pStyle w:val="3"/>
        <w:spacing w:before="300" w:after="120" w:line="288" w:lineRule="auto"/>
        <w:ind w:left="0"/>
        <w:jc w:val="left"/>
        <w:outlineLvl w:val="2"/>
      </w:pPr>
      <w:bookmarkStart w:name="heading_10" w:id="10"/>
      <w:r>
        <w:rPr>
          <w:rFonts w:eastAsia="等线" w:ascii="Arial" w:cs="Arial" w:hAnsi="Arial"/>
          <w:color w:val="3370ff"/>
          <w:sz w:val="30"/>
        </w:rPr>
        <w:t xml:space="preserve">2. </w:t>
      </w:r>
      <w:r>
        <w:rPr>
          <w:rFonts w:eastAsia="等线" w:ascii="Arial" w:cs="Arial" w:hAnsi="Arial"/>
          <w:b w:val="true"/>
          <w:sz w:val="30"/>
        </w:rPr>
        <w:t xml:space="preserve">Bộ 4 Chỉ số KPI Cân bằng cho Năm Tài chính Tiếp </w:t>
      </w:r>
      <w:bookmarkEnd w:id="10"/>
    </w:p>
    <w:p>
      <w:pPr>
        <w:pStyle w:val="4"/>
        <w:spacing w:before="260" w:after="120" w:line="288" w:lineRule="auto"/>
        <w:ind w:left="0"/>
        <w:jc w:val="left"/>
        <w:outlineLvl w:val="3"/>
      </w:pPr>
      <w:bookmarkStart w:name="heading_11" w:id="11"/>
      <w:r>
        <w:rPr>
          <w:rFonts w:eastAsia="等线" w:ascii="Arial" w:cs="Arial" w:hAnsi="Arial"/>
          <w:b w:val="true"/>
          <w:sz w:val="28"/>
        </w:rPr>
        <w:t>A. Chỉ số Đo lường Tính Hiệu quả (Effectiveness KPIs)</w:t>
      </w:r>
      <w:bookmarkEnd w:id="11"/>
    </w:p>
    <w:p>
      <w:pPr>
        <w:numPr>
          <w:numId w:val="14"/>
        </w:numPr>
        <w:spacing w:before="120" w:after="120" w:line="288" w:lineRule="auto"/>
        <w:ind w:left="0"/>
        <w:jc w:val="left"/>
      </w:pPr>
      <w:r>
        <w:rPr>
          <w:rFonts w:eastAsia="等线" w:ascii="Arial" w:cs="Arial" w:hAnsi="Arial"/>
          <w:b w:val="true"/>
          <w:sz w:val="22"/>
        </w:rPr>
        <w:t>Tỷ lệ Phủ sóng Điểm bán Hiệu quả (Active &amp; Profitable Store Rate - APR)</w:t>
      </w:r>
    </w:p>
    <w:p>
      <w:pPr>
        <w:numPr>
          <w:numId w:val="15"/>
        </w:numPr>
        <w:spacing w:before="120" w:after="120" w:line="288" w:lineRule="auto"/>
        <w:ind w:left="453"/>
        <w:jc w:val="left"/>
      </w:pPr>
      <w:r>
        <w:rPr>
          <w:rFonts w:eastAsia="等线" w:ascii="Arial" w:cs="Arial" w:hAnsi="Arial"/>
          <w:i w:val="true"/>
          <w:sz w:val="22"/>
        </w:rPr>
        <w:t>Công thức:</w:t>
      </w:r>
    </w:p>
    <w:p>
      <w:pPr>
        <w:numPr>
          <w:numId w:val="16"/>
        </w:numPr>
        <w:spacing w:before="120" w:after="120" w:line="288" w:lineRule="auto"/>
        <w:ind w:left="453"/>
        <w:jc w:val="left"/>
      </w:pPr>
      <w:r>
        <w:rPr>
          <w:rFonts w:eastAsia="等线" w:ascii="Arial" w:cs="Arial" w:hAnsi="Arial"/>
          <w:sz w:val="22"/>
        </w:rPr>
      </w:r>
      <m:oMathPara>
        <m:oMathParaPr>
          <m:jc m:val="left"/>
        </m:oMathParaPr>
        <m:oMath xmlns:mml="http://www.w3.org/1998/Math/MathML">
          <m:r>
            <m:rPr>
              <m:nor/>
            </m:rPr>
            <w:rPr>
              <w:rFonts w:ascii="Cambria Math" w:hAnsi="Cambria Math"/>
            </w:rPr>
            <m:t>APR</m:t>
          </m:r>
          <m:r>
            <w:rPr>
              <w:rFonts w:ascii="Cambria Math" w:hAnsi="Cambria Math"/>
            </w:rPr>
            <m:t>=</m:t>
          </m:r>
          <m:d>
            <m:e>
              <m:f>
                <m:fPr>
                  <m:type m:val="bar"/>
                </m:fPr>
                <m:num>
                  <m:r>
                    <m:rPr>
                      <m:nor/>
                    </m:rPr>
                    <w:rPr>
                      <w:rFonts w:ascii="Cambria Math" w:hAnsi="Cambria Math"/>
                    </w:rPr>
                    <m:t>Số điểm bán đạt doanh thu chuẩn &amp; có lợi nhuận đóng góp</m:t>
                  </m:r>
                </m:num>
                <m:den>
                  <m:r>
                    <m:rPr>
                      <m:nor/>
                    </m:rPr>
                    <w:rPr>
                      <w:rFonts w:ascii="Cambria Math" w:hAnsi="Cambria Math"/>
                    </w:rPr>
                    <m:t>Tổng số điểm bán đang phân phối</m:t>
                  </m:r>
                </m:den>
              </m:f>
            </m:e>
          </m:d>
          <m:r>
            <w:rPr>
              <w:rFonts w:ascii="Cambria Math" w:hAnsi="Cambria Math"/>
            </w:rPr>
            <m:t>×100</m:t>
          </m:r>
          <m:r>
            <m:rPr>
              <m:sty m:val="p"/>
            </m:rPr>
            <w:rPr>
              <w:rFonts w:ascii="Cambria Math" w:hAnsi="Cambria Math"/>
            </w:rPr>
            <m:t>%</m:t>
          </m:r>
        </m:oMath>
      </m:oMathPara>
    </w:p>
    <w:p>
      <w:pPr>
        <w:numPr>
          <w:numId w:val="17"/>
        </w:numPr>
        <w:spacing w:before="120" w:after="120" w:line="288" w:lineRule="auto"/>
        <w:ind w:left="453"/>
        <w:jc w:val="left"/>
      </w:pPr>
      <w:r>
        <w:rPr>
          <w:rFonts w:eastAsia="等线" w:ascii="Arial" w:cs="Arial" w:hAnsi="Arial"/>
          <w:i w:val="true"/>
          <w:sz w:val="22"/>
        </w:rPr>
        <w:t>Mục tiêu cụ thể:</w:t>
      </w:r>
      <w:r>
        <w:rPr>
          <w:rFonts w:eastAsia="等线" w:ascii="Arial" w:cs="Arial" w:hAnsi="Arial"/>
          <w:sz w:val="22"/>
        </w:rPr>
        <w:t xml:space="preserve"> Nâng tỷ lệ điểm bán sinh lời từ mức hiện tại lên 80%(Sàng lọc, loại bỏ các điểm bán phát sinh chi phí logistics quá cao nhưng doanh thu thấp).</w:t>
      </w:r>
    </w:p>
    <w:p>
      <w:pPr>
        <w:numPr>
          <w:numId w:val="18"/>
        </w:numPr>
        <w:spacing w:before="120" w:after="120" w:line="288" w:lineRule="auto"/>
        <w:ind w:left="0"/>
        <w:jc w:val="left"/>
      </w:pPr>
      <w:r>
        <w:rPr>
          <w:rFonts w:eastAsia="等线" w:ascii="Arial" w:cs="Arial" w:hAnsi="Arial"/>
          <w:b w:val="true"/>
          <w:sz w:val="22"/>
        </w:rPr>
        <w:t>Chỉ số Hài lòng của Khách hàng &amp; Hệ thống Phân phối (CSAT)</w:t>
      </w:r>
    </w:p>
    <w:p>
      <w:pPr>
        <w:numPr>
          <w:numId w:val="19"/>
        </w:numPr>
        <w:spacing w:before="120" w:after="120" w:line="288" w:lineRule="auto"/>
        <w:ind w:left="453"/>
        <w:jc w:val="left"/>
      </w:pPr>
      <w:r>
        <w:rPr>
          <w:rFonts w:eastAsia="等线" w:ascii="Arial" w:cs="Arial" w:hAnsi="Arial"/>
          <w:i w:val="true"/>
          <w:sz w:val="22"/>
        </w:rPr>
        <w:t>Công thức:</w:t>
      </w:r>
    </w:p>
    <w:p>
      <w:pPr>
        <w:numPr>
          <w:numId w:val="20"/>
        </w:numPr>
        <w:spacing w:before="120" w:after="120" w:line="288" w:lineRule="auto"/>
        <w:ind w:left="453"/>
        <w:jc w:val="left"/>
      </w:pPr>
      <w:r>
        <w:rPr>
          <w:rFonts w:eastAsia="等线" w:ascii="Arial" w:cs="Arial" w:hAnsi="Arial"/>
          <w:sz w:val="22"/>
        </w:rPr>
      </w:r>
      <m:oMathPara>
        <m:oMathParaPr>
          <m:jc m:val="left"/>
        </m:oMathParaPr>
        <m:oMath xmlns:mml="http://www.w3.org/1998/Math/MathML">
          <m:r>
            <m:rPr>
              <m:nor/>
            </m:rPr>
            <w:rPr>
              <w:rFonts w:ascii="Cambria Math" w:hAnsi="Cambria Math"/>
            </w:rPr>
            <m:t>CSAT</m:t>
          </m:r>
          <m:r>
            <w:rPr>
              <w:rFonts w:ascii="Cambria Math" w:hAnsi="Cambria Math"/>
            </w:rPr>
            <m:t>=</m:t>
          </m:r>
          <m:d>
            <m:e>
              <m:f>
                <m:fPr>
                  <m:type m:val="bar"/>
                </m:fPr>
                <m:num>
                  <m:r>
                    <m:rPr>
                      <m:nor/>
                    </m:rPr>
                    <w:rPr>
                      <w:rFonts w:ascii="Cambria Math" w:hAnsi="Cambria Math"/>
                    </w:rPr>
                    <m:t>Số lượt đánh giá Hài lòng (Điểm 4-5/5)</m:t>
                  </m:r>
                </m:num>
                <m:den>
                  <m:r>
                    <m:rPr>
                      <m:nor/>
                    </m:rPr>
                    <w:rPr>
                      <w:rFonts w:ascii="Cambria Math" w:hAnsi="Cambria Math"/>
                    </w:rPr>
                    <m:t>Tổng số khảo sát thu về từ các siêu thị/đại lý</m:t>
                  </m:r>
                </m:den>
              </m:f>
            </m:e>
          </m:d>
          <m:r>
            <w:rPr>
              <w:rFonts w:ascii="Cambria Math" w:hAnsi="Cambria Math"/>
            </w:rPr>
            <m:t>×100</m:t>
          </m:r>
          <m:r>
            <m:rPr>
              <m:sty m:val="p"/>
            </m:rPr>
            <w:rPr>
              <w:rFonts w:ascii="Cambria Math" w:hAnsi="Cambria Math"/>
            </w:rPr>
            <m:t>%</m:t>
          </m:r>
        </m:oMath>
      </m:oMathPara>
      <w:r>
        <w:rPr>
          <w:rFonts w:eastAsia="等线" w:ascii="Arial" w:cs="Arial" w:hAnsi="Arial"/>
          <w:sz w:val="22"/>
        </w:rPr>
        <w:t xml:space="preserve"> </w:t>
      </w:r>
    </w:p>
    <w:p>
      <w:pPr>
        <w:numPr>
          <w:numId w:val="21"/>
        </w:numPr>
        <w:spacing w:before="120" w:after="120" w:line="288" w:lineRule="auto"/>
        <w:ind w:left="0"/>
        <w:jc w:val="left"/>
      </w:pPr>
      <w:r>
        <w:rPr>
          <w:rFonts w:eastAsia="等线" w:ascii="Arial" w:cs="Arial" w:hAnsi="Arial"/>
          <w:i w:val="true"/>
          <w:sz w:val="22"/>
        </w:rPr>
        <w:t>Mục tiêu cụ thể:</w:t>
      </w:r>
      <w:r>
        <w:rPr>
          <w:rFonts w:eastAsia="等线" w:ascii="Arial" w:cs="Arial" w:hAnsi="Arial"/>
          <w:sz w:val="22"/>
        </w:rPr>
        <w:t xml:space="preserve"> Đạt &gt;=88%mức độ hài lòng về chất lượng bao bì và giao hàng đúng hạn (OTIF).</w:t>
      </w:r>
    </w:p>
    <w:p>
      <w:pPr>
        <w:pStyle w:val="4"/>
        <w:spacing w:before="260" w:after="120" w:line="288" w:lineRule="auto"/>
        <w:ind w:left="0"/>
        <w:jc w:val="left"/>
        <w:outlineLvl w:val="3"/>
      </w:pPr>
      <w:bookmarkStart w:name="heading_12" w:id="12"/>
      <w:r>
        <w:rPr>
          <w:rFonts w:eastAsia="等线" w:ascii="Arial" w:cs="Arial" w:hAnsi="Arial"/>
          <w:b w:val="true"/>
          <w:sz w:val="28"/>
        </w:rPr>
        <w:t>B. Chỉ số Đo lường Tính Hiệu suất (Efficiency KPIs)</w:t>
      </w:r>
      <w:bookmarkEnd w:id="12"/>
    </w:p>
    <w:p>
      <w:pPr>
        <w:numPr>
          <w:numId w:val="22"/>
        </w:numPr>
        <w:spacing w:before="120" w:after="120" w:line="288" w:lineRule="auto"/>
        <w:ind w:left="0"/>
        <w:jc w:val="left"/>
      </w:pPr>
      <w:r>
        <w:rPr>
          <w:rFonts w:eastAsia="等线" w:ascii="Arial" w:cs="Arial" w:hAnsi="Arial"/>
          <w:b w:val="true"/>
          <w:sz w:val="22"/>
        </w:rPr>
        <w:t>Tỷ lệ Hàng bị Hoàn trả (Return on Sales Error Rate - RER)</w:t>
      </w:r>
    </w:p>
    <w:p>
      <w:pPr>
        <w:numPr>
          <w:numId w:val="23"/>
        </w:numPr>
        <w:spacing w:before="120" w:after="120" w:line="288" w:lineRule="auto"/>
        <w:ind w:left="453"/>
        <w:jc w:val="left"/>
      </w:pPr>
      <w:r>
        <w:rPr>
          <w:rFonts w:eastAsia="等线" w:ascii="Arial" w:cs="Arial" w:hAnsi="Arial"/>
          <w:i w:val="true"/>
          <w:sz w:val="22"/>
        </w:rPr>
        <w:t>Công thức:</w:t>
      </w:r>
    </w:p>
    <w:p>
      <w:pPr>
        <w:numPr>
          <w:numId w:val="24"/>
        </w:numPr>
        <w:spacing w:before="120" w:after="120" w:line="288" w:lineRule="auto"/>
        <w:ind w:left="453"/>
        <w:jc w:val="left"/>
      </w:pPr>
      <w:r>
        <w:rPr>
          <w:rFonts w:eastAsia="等线" w:ascii="Arial" w:cs="Arial" w:hAnsi="Arial"/>
          <w:sz w:val="22"/>
        </w:rPr>
      </w:r>
      <m:oMathPara>
        <m:oMathParaPr>
          <m:jc m:val="left"/>
        </m:oMathParaPr>
        <m:oMath xmlns:mml="http://www.w3.org/1998/Math/MathML">
          <m:r>
            <m:rPr>
              <m:nor/>
            </m:rPr>
            <w:rPr>
              <w:rFonts w:ascii="Cambria Math" w:hAnsi="Cambria Math"/>
            </w:rPr>
            <m:t>RER</m:t>
          </m:r>
          <m:r>
            <w:rPr>
              <w:rFonts w:ascii="Cambria Math" w:hAnsi="Cambria Math"/>
            </w:rPr>
            <m:t>=</m:t>
          </m:r>
          <m:d>
            <m:e>
              <m:f>
                <m:fPr>
                  <m:type m:val="bar"/>
                </m:fPr>
                <m:num>
                  <m:r>
                    <m:rPr>
                      <m:nor/>
                    </m:rPr>
                    <w:rPr>
                      <w:rFonts w:ascii="Cambria Math" w:hAnsi="Cambria Math"/>
                    </w:rPr>
                    <m:t>Giá trị hàng hoàn trả do lỗi bao bì &amp; cận hạn</m:t>
                  </m:r>
                </m:num>
                <m:den>
                  <m:r>
                    <m:rPr>
                      <m:nor/>
                    </m:rPr>
                    <w:rPr>
                      <w:rFonts w:ascii="Cambria Math" w:hAnsi="Cambria Math"/>
                    </w:rPr>
                    <m:t>Tổng giá trị hàng xuất bán</m:t>
                  </m:r>
                </m:den>
              </m:f>
            </m:e>
          </m:d>
          <m:r>
            <w:rPr>
              <w:rFonts w:ascii="Cambria Math" w:hAnsi="Cambria Math"/>
            </w:rPr>
            <m:t>×100</m:t>
          </m:r>
          <m:r>
            <m:rPr>
              <m:sty m:val="p"/>
            </m:rPr>
            <w:rPr>
              <w:rFonts w:ascii="Cambria Math" w:hAnsi="Cambria Math"/>
            </w:rPr>
            <m:t>%</m:t>
          </m:r>
        </m:oMath>
      </m:oMathPara>
    </w:p>
    <w:p>
      <w:pPr>
        <w:numPr>
          <w:numId w:val="25"/>
        </w:numPr>
        <w:spacing w:before="120" w:after="120" w:line="288" w:lineRule="auto"/>
        <w:ind w:left="453"/>
        <w:jc w:val="left"/>
      </w:pPr>
      <w:r>
        <w:rPr>
          <w:rFonts w:eastAsia="等线" w:ascii="Arial" w:cs="Arial" w:hAnsi="Arial"/>
          <w:i w:val="true"/>
          <w:sz w:val="22"/>
        </w:rPr>
        <w:t>Mục tiêu cụ thể:</w:t>
      </w:r>
      <w:r>
        <w:rPr>
          <w:rFonts w:eastAsia="等线" w:ascii="Arial" w:cs="Arial" w:hAnsi="Arial"/>
          <w:sz w:val="22"/>
        </w:rPr>
        <w:t xml:space="preserve"> Giảm kéo từ 14% xuống 18% (Đạt chuẩn tiêu chuẩn ngành thực phẩm).</w:t>
      </w:r>
    </w:p>
    <w:p>
      <w:pPr>
        <w:numPr>
          <w:numId w:val="26"/>
        </w:numPr>
        <w:spacing w:before="120" w:after="120" w:line="288" w:lineRule="auto"/>
        <w:ind w:left="0"/>
        <w:jc w:val="left"/>
      </w:pPr>
      <w:r>
        <w:rPr>
          <w:rFonts w:eastAsia="等线" w:ascii="Arial" w:cs="Arial" w:hAnsi="Arial"/>
          <w:b w:val="true"/>
          <w:sz w:val="22"/>
        </w:rPr>
        <w:t>Tỷ lệ Chi phí Vận hành trên Doanh thu (OPEX Ratio)</w:t>
      </w:r>
    </w:p>
    <w:p>
      <w:pPr>
        <w:numPr>
          <w:numId w:val="27"/>
        </w:numPr>
        <w:spacing w:before="120" w:after="120" w:line="288" w:lineRule="auto"/>
        <w:ind w:left="453"/>
        <w:jc w:val="left"/>
      </w:pPr>
      <w:r>
        <w:rPr>
          <w:rFonts w:eastAsia="等线" w:ascii="Arial" w:cs="Arial" w:hAnsi="Arial"/>
          <w:i w:val="true"/>
          <w:sz w:val="22"/>
        </w:rPr>
        <w:t>Công thức:</w:t>
      </w:r>
    </w:p>
    <w:p>
      <w:pPr>
        <w:numPr>
          <w:numId w:val="28"/>
        </w:numPr>
        <w:spacing w:before="120" w:after="120" w:line="288" w:lineRule="auto"/>
        <w:ind w:left="453"/>
        <w:jc w:val="left"/>
      </w:pPr>
      <w:r>
        <w:rPr>
          <w:rFonts w:eastAsia="等线" w:ascii="Arial" w:cs="Arial" w:hAnsi="Arial"/>
          <w:sz w:val="22"/>
        </w:rPr>
      </w:r>
      <m:oMathPara>
        <m:oMathParaPr>
          <m:jc m:val="left"/>
        </m:oMathParaPr>
        <m:oMath xmlns:mml="http://www.w3.org/1998/Math/MathML">
          <m:r>
            <m:rPr>
              <m:nor/>
            </m:rPr>
            <w:rPr>
              <w:rFonts w:ascii="Cambria Math" w:hAnsi="Cambria Math"/>
            </w:rPr>
            <m:t>OPEX Ratio</m:t>
          </m:r>
          <m:r>
            <w:rPr>
              <w:rFonts w:ascii="Cambria Math" w:hAnsi="Cambria Math"/>
            </w:rPr>
            <m:t>=</m:t>
          </m:r>
          <m:d>
            <m:e>
              <m:f>
                <m:fPr>
                  <m:type m:val="bar"/>
                </m:fPr>
                <m:num>
                  <m:r>
                    <m:rPr>
                      <m:nor/>
                    </m:rPr>
                    <w:rPr>
                      <w:rFonts w:ascii="Cambria Math" w:hAnsi="Cambria Math"/>
                    </w:rPr>
                    <m:t>Chi phí Bán hàng + Logistics + QLDN</m:t>
                  </m:r>
                </m:num>
                <m:den>
                  <m:r>
                    <m:rPr>
                      <m:nor/>
                    </m:rPr>
                    <w:rPr>
                      <w:rFonts w:ascii="Cambria Math" w:hAnsi="Cambria Math"/>
                    </w:rPr>
                    <m:t>Tổng Doanh thu Thuần</m:t>
                  </m:r>
                </m:den>
              </m:f>
            </m:e>
          </m:d>
          <m:r>
            <w:rPr>
              <w:rFonts w:ascii="Cambria Math" w:hAnsi="Cambria Math"/>
            </w:rPr>
            <m:t>×100</m:t>
          </m:r>
          <m:r>
            <m:rPr>
              <m:sty m:val="p"/>
            </m:rPr>
            <w:rPr>
              <w:rFonts w:ascii="Cambria Math" w:hAnsi="Cambria Math"/>
            </w:rPr>
            <m:t>%</m:t>
          </m:r>
        </m:oMath>
      </m:oMathPara>
    </w:p>
    <w:p>
      <w:pPr>
        <w:numPr>
          <w:numId w:val="29"/>
        </w:numPr>
        <w:spacing w:before="120" w:after="120" w:line="288" w:lineRule="auto"/>
        <w:ind w:left="453"/>
        <w:jc w:val="left"/>
      </w:pPr>
      <w:r>
        <w:rPr>
          <w:rFonts w:eastAsia="等线" w:ascii="Arial" w:cs="Arial" w:hAnsi="Arial"/>
          <w:i w:val="true"/>
          <w:sz w:val="22"/>
        </w:rPr>
        <w:t>Mục tiêu cụ thể:</w:t>
      </w:r>
      <w:r>
        <w:rPr>
          <w:rFonts w:eastAsia="等线" w:ascii="Arial" w:cs="Arial" w:hAnsi="Arial"/>
          <w:sz w:val="22"/>
        </w:rPr>
        <w:t xml:space="preserve"> Cắt giảm tỷ lệ OPEX từ mức bùng nổ hiện tại xuống mốc 22% doanh thu.</w:t>
      </w:r>
    </w:p>
    <w:p>
      <w:pPr>
        <w:pStyle w:val="2"/>
        <w:spacing w:before="320" w:after="120" w:line="288" w:lineRule="auto"/>
        <w:ind w:left="0"/>
        <w:jc w:val="left"/>
        <w:outlineLvl w:val="1"/>
      </w:pPr>
      <w:bookmarkStart w:name="heading_13" w:id="13"/>
      <w:r>
        <w:rPr>
          <w:rFonts w:eastAsia="等线" w:ascii="Arial" w:cs="Arial" w:hAnsi="Arial"/>
          <w:b w:val="true"/>
          <w:sz w:val="32"/>
        </w:rPr>
        <w:t>TASK 4: Bản Kế hoạch Hành động 90 Ngày (90-Day Action Plan) của Tân CEO (2.5 Điểm)</w:t>
      </w:r>
      <w:bookmarkEnd w:id="13"/>
    </w:p>
    <w:p>
      <w:pPr>
        <w:pStyle w:val="3"/>
        <w:spacing w:before="300" w:after="120" w:line="288" w:lineRule="auto"/>
        <w:ind w:left="0"/>
        <w:jc w:val="left"/>
        <w:outlineLvl w:val="2"/>
      </w:pPr>
      <w:bookmarkStart w:name="heading_14" w:id="14"/>
      <w:r>
        <w:rPr>
          <w:rFonts w:eastAsia="等线" w:ascii="Arial" w:cs="Arial" w:hAnsi="Arial"/>
          <w:b w:val="true"/>
          <w:sz w:val="30"/>
        </w:rPr>
        <w:t>Chi tiết Kế hoạch 90 Ngày</w:t>
      </w:r>
      <w:bookmarkEnd w:id="14"/>
    </w:p>
    <w:p>
      <w:pPr>
        <w:pStyle w:val="4"/>
        <w:spacing w:before="260" w:after="120" w:line="288" w:lineRule="auto"/>
        <w:ind w:left="0"/>
        <w:jc w:val="left"/>
        <w:outlineLvl w:val="3"/>
      </w:pPr>
      <w:bookmarkStart w:name="heading_15" w:id="15"/>
      <w:r>
        <w:rPr>
          <w:rFonts w:eastAsia="等线" w:ascii="Arial" w:cs="Arial" w:hAnsi="Arial"/>
          <w:b w:val="true"/>
          <w:sz w:val="28"/>
        </w:rPr>
        <w:t>Giai đoạn 1 (Ngày 1 - 30): CẤP CỨU VẬN HÀNH (Trọng tâm Hoạch định &amp; Kiểm soát Khẩn cấp)</w:t>
      </w:r>
      <w:bookmarkEnd w:id="15"/>
    </w:p>
    <w:p>
      <w:pPr>
        <w:numPr>
          <w:numId w:val="30"/>
        </w:numPr>
        <w:spacing w:before="120" w:after="120" w:line="288" w:lineRule="auto"/>
        <w:ind w:left="0"/>
        <w:jc w:val="left"/>
      </w:pPr>
      <w:r>
        <w:rPr>
          <w:rFonts w:eastAsia="等线" w:ascii="Arial" w:cs="Arial" w:hAnsi="Arial"/>
          <w:b w:val="true"/>
          <w:sz w:val="22"/>
        </w:rPr>
        <w:t>Ngày 1 - 10 (Kiểm soát Dòng tiền &amp; Chi phí):</w:t>
      </w:r>
    </w:p>
    <w:p>
      <w:pPr>
        <w:numPr>
          <w:numId w:val="31"/>
        </w:numPr>
        <w:spacing w:before="120" w:after="120" w:line="288" w:lineRule="auto"/>
        <w:ind w:left="453"/>
        <w:jc w:val="left"/>
      </w:pPr>
      <w:r>
        <w:rPr>
          <w:rFonts w:eastAsia="等线" w:ascii="Arial" w:cs="Arial" w:hAnsi="Arial"/>
          <w:sz w:val="22"/>
        </w:rPr>
        <w:t xml:space="preserve">Thành lập </w:t>
      </w:r>
      <w:r>
        <w:rPr>
          <w:rFonts w:eastAsia="等线" w:ascii="Arial" w:cs="Arial" w:hAnsi="Arial"/>
          <w:i w:val="true"/>
          <w:sz w:val="22"/>
        </w:rPr>
        <w:t>Ban Đặc nhiệm Cắt giảm Lãng phí (Cost-Taskforce)</w:t>
      </w:r>
      <w:r>
        <w:rPr>
          <w:rFonts w:eastAsia="等线" w:ascii="Arial" w:cs="Arial" w:hAnsi="Arial"/>
          <w:sz w:val="22"/>
        </w:rPr>
        <w:t xml:space="preserve"> do CEO trực tiếp làm Trưởng ban.</w:t>
      </w:r>
    </w:p>
    <w:p>
      <w:pPr>
        <w:numPr>
          <w:numId w:val="32"/>
        </w:numPr>
        <w:spacing w:before="120" w:after="120" w:line="288" w:lineRule="auto"/>
        <w:ind w:left="453"/>
        <w:jc w:val="left"/>
      </w:pPr>
      <w:r>
        <w:rPr>
          <w:rFonts w:eastAsia="等线" w:ascii="Arial" w:cs="Arial" w:hAnsi="Arial"/>
          <w:sz w:val="22"/>
        </w:rPr>
        <w:t>Tạm dừng mở rộng điểm bán mới; rà soát lại toàn bộ 300 điểm bán hiện tại để cắt hợp đồng với các điểm bán lỗ sâu.</w:t>
      </w:r>
    </w:p>
    <w:p>
      <w:pPr>
        <w:numPr>
          <w:numId w:val="33"/>
        </w:numPr>
        <w:spacing w:before="120" w:after="120" w:line="288" w:lineRule="auto"/>
        <w:ind w:left="453"/>
        <w:jc w:val="left"/>
      </w:pPr>
      <w:r>
        <w:rPr>
          <w:rFonts w:eastAsia="等线" w:ascii="Arial" w:cs="Arial" w:hAnsi="Arial"/>
          <w:sz w:val="22"/>
        </w:rPr>
        <w:t>Thương lượng lại hợp đồng cước phí với các đối tác Logistics.</w:t>
      </w:r>
    </w:p>
    <w:p>
      <w:pPr>
        <w:numPr>
          <w:numId w:val="34"/>
        </w:numPr>
        <w:spacing w:before="120" w:after="120" w:line="288" w:lineRule="auto"/>
        <w:ind w:left="0"/>
        <w:jc w:val="left"/>
      </w:pPr>
      <w:r>
        <w:rPr>
          <w:rFonts w:eastAsia="等线" w:ascii="Arial" w:cs="Arial" w:hAnsi="Arial"/>
          <w:b w:val="true"/>
          <w:sz w:val="22"/>
        </w:rPr>
        <w:t>Ngày 11 - 20 (Kiểm soát Chất lượng Khẩn cấp):</w:t>
      </w:r>
    </w:p>
    <w:p>
      <w:pPr>
        <w:numPr>
          <w:numId w:val="35"/>
        </w:numPr>
        <w:spacing w:before="120" w:after="120" w:line="288" w:lineRule="auto"/>
        <w:ind w:left="453"/>
        <w:jc w:val="left"/>
      </w:pPr>
      <w:r>
        <w:rPr>
          <w:rFonts w:eastAsia="等线" w:ascii="Arial" w:cs="Arial" w:hAnsi="Arial"/>
          <w:sz w:val="22"/>
        </w:rPr>
        <w:t>Đặt trạm kiểm soát chất lượng (QC Checkpoint) bắt đầu ngay tại khâu đóng gói bao bì ở phân xưởng.</w:t>
      </w:r>
    </w:p>
    <w:p>
      <w:pPr>
        <w:numPr>
          <w:numId w:val="36"/>
        </w:numPr>
        <w:spacing w:before="120" w:after="120" w:line="288" w:lineRule="auto"/>
        <w:ind w:left="453"/>
        <w:jc w:val="left"/>
      </w:pPr>
      <w:r>
        <w:rPr>
          <w:rFonts w:eastAsia="等线" w:ascii="Arial" w:cs="Arial" w:hAnsi="Arial"/>
          <w:sz w:val="22"/>
        </w:rPr>
        <w:t xml:space="preserve">Áp dụng nguyên tắc kiểm soát kho </w:t>
      </w:r>
      <w:r>
        <w:rPr>
          <w:rFonts w:eastAsia="等线" w:ascii="Arial" w:cs="Arial" w:hAnsi="Arial"/>
          <w:b w:val="true"/>
          <w:sz w:val="22"/>
        </w:rPr>
        <w:t>FEFO</w:t>
      </w:r>
      <w:r>
        <w:rPr>
          <w:rFonts w:eastAsia="等线" w:ascii="Arial" w:cs="Arial" w:hAnsi="Arial"/>
          <w:sz w:val="22"/>
        </w:rPr>
        <w:t xml:space="preserve"> (First Expired, First Out - Hàng hết hạn trước xuất trước); thu hồi và xử lý ngay các lô hàng cận hạn dưới 60 ngày còn tồn trên kênh phân phối.</w:t>
      </w:r>
    </w:p>
    <w:p>
      <w:pPr>
        <w:numPr>
          <w:numId w:val="37"/>
        </w:numPr>
        <w:spacing w:before="120" w:after="120" w:line="288" w:lineRule="auto"/>
        <w:ind w:left="0"/>
        <w:jc w:val="left"/>
      </w:pPr>
      <w:r>
        <w:rPr>
          <w:rFonts w:eastAsia="等线" w:ascii="Arial" w:cs="Arial" w:hAnsi="Arial"/>
          <w:b w:val="true"/>
          <w:sz w:val="22"/>
        </w:rPr>
        <w:t>Ngày 21 - 30 (Hoạch định Ngân sách Thắt lưng buộc bụng):</w:t>
      </w:r>
    </w:p>
    <w:p>
      <w:pPr>
        <w:numPr>
          <w:numId w:val="38"/>
        </w:numPr>
        <w:spacing w:before="120" w:after="120" w:line="288" w:lineRule="auto"/>
        <w:ind w:left="453"/>
        <w:jc w:val="left"/>
      </w:pPr>
      <w:r>
        <w:rPr>
          <w:rFonts w:eastAsia="等线" w:ascii="Arial" w:cs="Arial" w:hAnsi="Arial"/>
          <w:sz w:val="22"/>
        </w:rPr>
        <w:t>Ban hành Định mức Chi phí Vận hành mới cho từng phòng ban trong Q3 &amp; Q4.</w:t>
      </w:r>
    </w:p>
    <w:p>
      <w:pPr>
        <w:pStyle w:val="4"/>
        <w:spacing w:before="260" w:after="120" w:line="288" w:lineRule="auto"/>
        <w:ind w:left="0"/>
        <w:jc w:val="left"/>
        <w:outlineLvl w:val="3"/>
      </w:pPr>
      <w:bookmarkStart w:name="heading_16" w:id="16"/>
      <w:r>
        <w:rPr>
          <w:rFonts w:eastAsia="等线" w:ascii="Arial" w:cs="Arial" w:hAnsi="Arial"/>
          <w:b w:val="true"/>
          <w:sz w:val="28"/>
        </w:rPr>
        <w:t>Giai đoạn 2 (Ngày 31 - 60): TÁI CƠ CẤU BỘ MÁY (Trọng tâm Tổ chức &amp; Quy trình)</w:t>
      </w:r>
      <w:bookmarkEnd w:id="16"/>
    </w:p>
    <w:p>
      <w:pPr>
        <w:numPr>
          <w:numId w:val="39"/>
        </w:numPr>
        <w:spacing w:before="120" w:after="120" w:line="288" w:lineRule="auto"/>
        <w:ind w:left="0"/>
        <w:jc w:val="left"/>
      </w:pPr>
      <w:r>
        <w:rPr>
          <w:rFonts w:eastAsia="等线" w:ascii="Arial" w:cs="Arial" w:hAnsi="Arial"/>
          <w:b w:val="true"/>
          <w:sz w:val="22"/>
        </w:rPr>
        <w:t>Ngày 31 - 40 (Tái cấu trúc Sơ đồ Tổ chức):</w:t>
      </w:r>
    </w:p>
    <w:p>
      <w:pPr>
        <w:numPr>
          <w:numId w:val="40"/>
        </w:numPr>
        <w:spacing w:before="120" w:after="120" w:line="288" w:lineRule="auto"/>
        <w:ind w:left="453"/>
        <w:jc w:val="left"/>
      </w:pPr>
      <w:r>
        <w:rPr>
          <w:rFonts w:eastAsia="等线" w:ascii="Arial" w:cs="Arial" w:hAnsi="Arial"/>
          <w:sz w:val="22"/>
        </w:rPr>
        <w:t>Thiết kế lại Sơ đồ bộ máy (Org Chart) phẳng hơn; làm rõ Mô tả công việc (JD) và Trách nhiệm (RACI) của từng Trưởng phòng.</w:t>
      </w:r>
    </w:p>
    <w:p>
      <w:pPr>
        <w:numPr>
          <w:numId w:val="41"/>
        </w:numPr>
        <w:spacing w:before="120" w:after="120" w:line="288" w:lineRule="auto"/>
        <w:ind w:left="453"/>
        <w:jc w:val="left"/>
      </w:pPr>
      <w:r>
        <w:rPr>
          <w:rFonts w:eastAsia="等线" w:ascii="Arial" w:cs="Arial" w:hAnsi="Arial"/>
          <w:sz w:val="22"/>
        </w:rPr>
        <w:t xml:space="preserve">Điều chuyển vị trí CEO cũ sang vai trò </w:t>
      </w:r>
      <w:r>
        <w:rPr>
          <w:rFonts w:eastAsia="等线" w:ascii="Arial" w:cs="Arial" w:hAnsi="Arial"/>
          <w:b w:val="true"/>
          <w:sz w:val="22"/>
        </w:rPr>
        <w:t>Giám đốc Chuyên môn R&amp;D và Cố vấn Công thức</w:t>
      </w:r>
      <w:r>
        <w:rPr>
          <w:rFonts w:eastAsia="等线" w:ascii="Arial" w:cs="Arial" w:hAnsi="Arial"/>
          <w:sz w:val="22"/>
        </w:rPr>
        <w:t xml:space="preserve"> (phát huy đúng năng lực kỹ sư).</w:t>
      </w:r>
    </w:p>
    <w:p>
      <w:pPr>
        <w:numPr>
          <w:numId w:val="42"/>
        </w:numPr>
        <w:spacing w:before="120" w:after="120" w:line="288" w:lineRule="auto"/>
        <w:ind w:left="0"/>
        <w:jc w:val="left"/>
      </w:pPr>
      <w:r>
        <w:rPr>
          <w:rFonts w:eastAsia="等线" w:ascii="Arial" w:cs="Arial" w:hAnsi="Arial"/>
          <w:b w:val="true"/>
          <w:sz w:val="22"/>
        </w:rPr>
        <w:t>Ngày 41 - 50 (Xây dựng Quy trình Liên chức năng SOP):</w:t>
      </w:r>
    </w:p>
    <w:p>
      <w:pPr>
        <w:numPr>
          <w:numId w:val="43"/>
        </w:numPr>
        <w:spacing w:before="120" w:after="120" w:line="288" w:lineRule="auto"/>
        <w:ind w:left="453"/>
        <w:jc w:val="left"/>
      </w:pPr>
      <w:r>
        <w:rPr>
          <w:rFonts w:eastAsia="等线" w:ascii="Arial" w:cs="Arial" w:hAnsi="Arial"/>
          <w:sz w:val="22"/>
        </w:rPr>
        <w:t xml:space="preserve">Ban hành Quy trình phối hợp 3 bên: </w:t>
      </w:r>
      <w:r>
        <w:rPr>
          <w:rFonts w:eastAsia="等线" w:ascii="Arial" w:cs="Arial" w:hAnsi="Arial"/>
          <w:b w:val="true"/>
          <w:sz w:val="22"/>
        </w:rPr>
        <w:t>Kinh doanh (Dự báo nhu cầu) $\rightarrow$ Sản xuất (Kế hoạch ca) $\rightarrow$ Logistics (Giao hàng)</w:t>
      </w:r>
      <w:r>
        <w:rPr>
          <w:rFonts w:eastAsia="等线" w:ascii="Arial" w:cs="Arial" w:hAnsi="Arial"/>
          <w:sz w:val="22"/>
        </w:rPr>
        <w:t>.</w:t>
      </w:r>
    </w:p>
    <w:p>
      <w:pPr>
        <w:numPr>
          <w:numId w:val="44"/>
        </w:numPr>
        <w:spacing w:before="120" w:after="120" w:line="288" w:lineRule="auto"/>
        <w:ind w:left="453"/>
        <w:jc w:val="left"/>
      </w:pPr>
      <w:r>
        <w:rPr>
          <w:rFonts w:eastAsia="等线" w:ascii="Arial" w:cs="Arial" w:hAnsi="Arial"/>
          <w:sz w:val="22"/>
        </w:rPr>
        <w:t>Thiết lập cơ chế họp Giao ban Liên phòng ban (Cross-functional Daily Standup 15 phút) để giải quyết ngay lập tức các sự cố chậm hàng.</w:t>
      </w:r>
    </w:p>
    <w:p>
      <w:pPr>
        <w:numPr>
          <w:numId w:val="45"/>
        </w:numPr>
        <w:spacing w:before="120" w:after="120" w:line="288" w:lineRule="auto"/>
        <w:ind w:left="0"/>
        <w:jc w:val="left"/>
      </w:pPr>
      <w:r>
        <w:rPr>
          <w:rFonts w:eastAsia="等线" w:ascii="Arial" w:cs="Arial" w:hAnsi="Arial"/>
          <w:b w:val="true"/>
          <w:sz w:val="22"/>
        </w:rPr>
        <w:t>Ngày 51 - 60 (Sắp xếp Lại Khối Sản xuất):</w:t>
      </w:r>
    </w:p>
    <w:p>
      <w:pPr>
        <w:numPr>
          <w:numId w:val="46"/>
        </w:numPr>
        <w:spacing w:before="120" w:after="120" w:line="288" w:lineRule="auto"/>
        <w:ind w:left="453"/>
        <w:jc w:val="left"/>
      </w:pPr>
      <w:r>
        <w:rPr>
          <w:rFonts w:eastAsia="等线" w:ascii="Arial" w:cs="Arial" w:hAnsi="Arial"/>
          <w:sz w:val="22"/>
        </w:rPr>
        <w:t>Chuẩn hóa hạn mức giờ tăng ca (Overtime Limit) không quá 30 giờ/tháng/công nhân theo quy định pháp luật.</w:t>
      </w:r>
    </w:p>
    <w:p>
      <w:pPr>
        <w:pStyle w:val="4"/>
        <w:spacing w:before="260" w:after="120" w:line="288" w:lineRule="auto"/>
        <w:ind w:left="0"/>
        <w:jc w:val="left"/>
        <w:outlineLvl w:val="3"/>
      </w:pPr>
      <w:bookmarkStart w:name="heading_17" w:id="17"/>
      <w:r>
        <w:rPr>
          <w:rFonts w:eastAsia="等线" w:ascii="Arial" w:cs="Arial" w:hAnsi="Arial"/>
          <w:b w:val="true"/>
          <w:sz w:val="28"/>
        </w:rPr>
        <w:t>Giai đoạn 3 (Ngày 61 - 90): LÃNH ĐẠO &amp; TĂNG TỐC (Trọng tâm Lãnh đạo &amp; Văn hóa)</w:t>
      </w:r>
      <w:bookmarkEnd w:id="17"/>
    </w:p>
    <w:p>
      <w:pPr>
        <w:numPr>
          <w:numId w:val="47"/>
        </w:numPr>
        <w:spacing w:before="120" w:after="120" w:line="288" w:lineRule="auto"/>
        <w:ind w:left="0"/>
        <w:jc w:val="left"/>
      </w:pPr>
      <w:r>
        <w:rPr>
          <w:rFonts w:eastAsia="等线" w:ascii="Arial" w:cs="Arial" w:hAnsi="Arial"/>
          <w:b w:val="true"/>
          <w:sz w:val="22"/>
        </w:rPr>
        <w:t>Ngày 61 - 70 (Truyền thông Tầm nhìn &amp; Văn hóa Mới):</w:t>
      </w:r>
    </w:p>
    <w:p>
      <w:pPr>
        <w:numPr>
          <w:numId w:val="48"/>
        </w:numPr>
        <w:spacing w:before="120" w:after="120" w:line="288" w:lineRule="auto"/>
        <w:ind w:left="453"/>
        <w:jc w:val="left"/>
      </w:pPr>
      <w:r>
        <w:rPr>
          <w:rFonts w:eastAsia="等线" w:ascii="Arial" w:cs="Arial" w:hAnsi="Arial"/>
          <w:sz w:val="22"/>
        </w:rPr>
        <w:t xml:space="preserve">Tổ chức Hội nghị Toàn thể Công ty (Town Hall Meeting) công bố Tầm nhìn mới và Văn hóa </w:t>
      </w:r>
      <w:r>
        <w:rPr>
          <w:rFonts w:eastAsia="等线" w:ascii="Arial" w:cs="Arial" w:hAnsi="Arial"/>
          <w:b w:val="true"/>
          <w:sz w:val="22"/>
        </w:rPr>
        <w:t>"Tôn trọng - Trách nhiệm - Hợp tác"</w:t>
      </w:r>
      <w:r>
        <w:rPr>
          <w:rFonts w:eastAsia="等线" w:ascii="Arial" w:cs="Arial" w:hAnsi="Arial"/>
          <w:sz w:val="22"/>
        </w:rPr>
        <w:t>.</w:t>
      </w:r>
    </w:p>
    <w:p>
      <w:pPr>
        <w:numPr>
          <w:numId w:val="49"/>
        </w:numPr>
        <w:spacing w:before="120" w:after="120" w:line="288" w:lineRule="auto"/>
        <w:ind w:left="453"/>
        <w:jc w:val="left"/>
      </w:pPr>
      <w:r>
        <w:rPr>
          <w:rFonts w:eastAsia="等线" w:ascii="Arial" w:cs="Arial" w:hAnsi="Arial"/>
          <w:sz w:val="22"/>
        </w:rPr>
        <w:t>Cam kết công khai của Tân CEO về chính sách chăm sóc người lao động và môi trường làm việc an toàn.</w:t>
      </w:r>
    </w:p>
    <w:p>
      <w:pPr>
        <w:numPr>
          <w:numId w:val="50"/>
        </w:numPr>
        <w:spacing w:before="120" w:after="120" w:line="288" w:lineRule="auto"/>
        <w:ind w:left="0"/>
        <w:jc w:val="left"/>
      </w:pPr>
      <w:r>
        <w:rPr>
          <w:rFonts w:eastAsia="等线" w:ascii="Arial" w:cs="Arial" w:hAnsi="Arial"/>
          <w:b w:val="true"/>
          <w:sz w:val="22"/>
        </w:rPr>
        <w:t>Ngày 71 - 80 (Đào tạo &amp; Ban hành KPI):</w:t>
      </w:r>
    </w:p>
    <w:p>
      <w:pPr>
        <w:numPr>
          <w:numId w:val="51"/>
        </w:numPr>
        <w:spacing w:before="120" w:after="120" w:line="288" w:lineRule="auto"/>
        <w:ind w:left="453"/>
        <w:jc w:val="left"/>
      </w:pPr>
      <w:r>
        <w:rPr>
          <w:rFonts w:eastAsia="等线" w:ascii="Arial" w:cs="Arial" w:hAnsi="Arial"/>
          <w:sz w:val="22"/>
        </w:rPr>
        <w:t>Triển khai khóa đào tạo Kỹ năng Quản trị cho toàn bộ Quản đốc phân xưởng và Giám sát bán hàng.</w:t>
      </w:r>
    </w:p>
    <w:p>
      <w:pPr>
        <w:numPr>
          <w:numId w:val="52"/>
        </w:numPr>
        <w:spacing w:before="120" w:after="120" w:line="288" w:lineRule="auto"/>
        <w:ind w:left="453"/>
        <w:jc w:val="left"/>
      </w:pPr>
      <w:r>
        <w:rPr>
          <w:rFonts w:eastAsia="等线" w:ascii="Arial" w:cs="Arial" w:hAnsi="Arial"/>
          <w:sz w:val="22"/>
        </w:rPr>
        <w:t>Áp dụng Bộ chỉ số KPI cân bằng (kết hợp cả tiêu chí Doanh thu + Tiết kiệm Chi phí + Chất lượng).</w:t>
      </w:r>
    </w:p>
    <w:p>
      <w:pPr>
        <w:numPr>
          <w:numId w:val="53"/>
        </w:numPr>
        <w:spacing w:before="120" w:after="120" w:line="288" w:lineRule="auto"/>
        <w:ind w:left="0"/>
        <w:jc w:val="left"/>
      </w:pPr>
      <w:r>
        <w:rPr>
          <w:rFonts w:eastAsia="等线" w:ascii="Arial" w:cs="Arial" w:hAnsi="Arial"/>
          <w:b w:val="true"/>
          <w:sz w:val="22"/>
        </w:rPr>
        <w:t>Ngày 81 - 90 (Tăng tốc &amp; Đánh giá):</w:t>
      </w:r>
    </w:p>
    <w:p>
      <w:pPr>
        <w:numPr>
          <w:numId w:val="54"/>
        </w:numPr>
        <w:spacing w:before="120" w:after="120" w:line="288" w:lineRule="auto"/>
        <w:ind w:left="453"/>
        <w:jc w:val="left"/>
      </w:pPr>
      <w:r>
        <w:rPr>
          <w:rFonts w:eastAsia="等线" w:ascii="Arial" w:cs="Arial" w:hAnsi="Arial"/>
          <w:sz w:val="22"/>
        </w:rPr>
        <w:t>Ban hành Chính sách Thưởng nóng cho các Phân xưởng/Đội bán hàng đạt chỉ số giảm lỗi và tối ưu chi phí.</w:t>
      </w:r>
    </w:p>
    <w:p>
      <w:pPr>
        <w:numPr>
          <w:numId w:val="55"/>
        </w:numPr>
        <w:spacing w:before="120" w:after="120" w:line="288" w:lineRule="auto"/>
        <w:ind w:left="453"/>
        <w:jc w:val="left"/>
      </w:pPr>
      <w:r>
        <w:rPr>
          <w:rFonts w:eastAsia="等线" w:ascii="Arial" w:cs="Arial" w:hAnsi="Arial"/>
          <w:sz w:val="22"/>
        </w:rPr>
        <w:t>Đánh giá kết quả 90 ngày, báo cáo HĐQT và phê duyệt Kế hoạch Chiến lược 3 năm tới.</w:t>
      </w:r>
    </w:p>
    <w:p>
      <w:pPr>
        <w:pStyle w:val="3"/>
        <w:spacing w:before="300" w:after="120" w:line="288" w:lineRule="auto"/>
        <w:ind w:left="0"/>
        <w:jc w:val="left"/>
        <w:outlineLvl w:val="2"/>
      </w:pPr>
      <w:bookmarkStart w:name="heading_18" w:id="18"/>
      <w:r>
        <w:rPr>
          <w:rFonts w:eastAsia="等线" w:ascii="Arial" w:cs="Arial" w:hAnsi="Arial"/>
          <w:b w:val="true"/>
          <w:sz w:val="30"/>
        </w:rPr>
        <w:t>Quản trị Rủi ro Thực thi (Risk Management)</w:t>
      </w:r>
      <w:bookmarkEnd w:id="18"/>
    </w:p>
    <w:p>
      <w:pPr>
        <w:numPr>
          <w:numId w:val="56"/>
        </w:numPr>
        <w:spacing w:before="120" w:after="120" w:line="288" w:lineRule="auto"/>
        <w:ind w:left="0"/>
        <w:jc w:val="left"/>
      </w:pPr>
      <w:r>
        <w:rPr>
          <w:rFonts w:eastAsia="等线" w:ascii="Arial" w:cs="Arial" w:hAnsi="Arial"/>
          <w:b w:val="true"/>
          <w:sz w:val="22"/>
        </w:rPr>
        <w:t>Rủi ro lớn nhất:</w:t>
      </w:r>
      <w:r>
        <w:rPr>
          <w:rFonts w:eastAsia="等线" w:ascii="Arial" w:cs="Arial" w:hAnsi="Arial"/>
          <w:sz w:val="22"/>
        </w:rPr>
        <w:t xml:space="preserve"> </w:t>
      </w:r>
      <w:r>
        <w:rPr>
          <w:rFonts w:eastAsia="等线" w:ascii="Arial" w:cs="Arial" w:hAnsi="Arial"/>
          <w:b w:val="true"/>
          <w:sz w:val="22"/>
        </w:rPr>
        <w:t>Làn sóng Kháng cự Thay đổi (Resistance to Change)</w:t>
      </w:r>
      <w:r>
        <w:rPr>
          <w:rFonts w:eastAsia="等线" w:ascii="Arial" w:cs="Arial" w:hAnsi="Arial"/>
          <w:sz w:val="22"/>
        </w:rPr>
        <w:t xml:space="preserve"> từ đội ngũ Quản đốc cũ và nguy cơ suy giảm sản lượng ngắn hạn khi siết chặt quy trình QC.</w:t>
      </w:r>
    </w:p>
    <w:p>
      <w:pPr>
        <w:numPr>
          <w:numId w:val="57"/>
        </w:numPr>
        <w:spacing w:before="120" w:after="120" w:line="288" w:lineRule="auto"/>
        <w:ind w:left="0"/>
        <w:jc w:val="left"/>
      </w:pPr>
      <w:r>
        <w:rPr>
          <w:rFonts w:eastAsia="等线" w:ascii="Arial" w:cs="Arial" w:hAnsi="Arial"/>
          <w:b w:val="true"/>
          <w:sz w:val="22"/>
        </w:rPr>
        <w:t>Phương án Phòng ngừa:</w:t>
      </w:r>
    </w:p>
    <w:p>
      <w:pPr>
        <w:numPr>
          <w:numId w:val="58"/>
        </w:numPr>
        <w:spacing w:before="120" w:after="120" w:line="288" w:lineRule="auto"/>
        <w:ind w:left="453"/>
        <w:jc w:val="left"/>
      </w:pPr>
      <w:r>
        <w:rPr>
          <w:rFonts w:eastAsia="等线" w:ascii="Arial" w:cs="Arial" w:hAnsi="Arial"/>
          <w:sz w:val="22"/>
        </w:rPr>
        <w:t>Áp dụng Mô hình Quản trị Thay đổi 8 bước của Kotter (Kotter's 8-Step Change Model): Tạo dựng tính cấp bách $\rightarrow$ Tạo ra các "Chiến thắng ngắn hạn" (Quick Wins - ví dụ: thưởng tiền mặt ngay tuần đầu cho phân xưởng giảm được tỷ lệ hàng hỏng).</w:t>
      </w:r>
    </w:p>
    <w:p>
      <w:pPr>
        <w:numPr>
          <w:numId w:val="59"/>
        </w:numPr>
        <w:spacing w:before="120" w:after="120" w:line="288" w:lineRule="auto"/>
        <w:ind w:left="453"/>
        <w:jc w:val="left"/>
      </w:pPr>
      <w:r>
        <w:rPr>
          <w:rFonts w:eastAsia="等线" w:ascii="Arial" w:cs="Arial" w:hAnsi="Arial"/>
          <w:sz w:val="22"/>
        </w:rPr>
        <w:t>Đối thoại trực tiếp 1-1 với các Quản đốc uy tín; khẳng định không cắt giảm thu nhập cơ bản mà điều chỉnh cơ cấu thưởng dựa trên năng lực quản lý và tỷ lệ giữ chân công nhân.</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53858">
    <w:lvl>
      <w:numFmt w:val="bullet"/>
      <w:suff w:val="tab"/>
      <w:lvlText w:val="•"/>
      <w:rPr>
        <w:color w:val="3370ff"/>
      </w:rPr>
    </w:lvl>
  </w:abstractNum>
  <w:abstractNum w:abstractNumId="53859">
    <w:lvl>
      <w:numFmt w:val="bullet"/>
      <w:suff w:val="tab"/>
      <w:lvlText w:val="•"/>
      <w:rPr>
        <w:color w:val="3370ff"/>
      </w:rPr>
    </w:lvl>
  </w:abstractNum>
  <w:abstractNum w:abstractNumId="53860">
    <w:lvl>
      <w:numFmt w:val="bullet"/>
      <w:suff w:val="tab"/>
      <w:lvlText w:val="•"/>
      <w:rPr>
        <w:color w:val="3370ff"/>
      </w:rPr>
    </w:lvl>
  </w:abstractNum>
  <w:abstractNum w:abstractNumId="53861">
    <w:lvl>
      <w:numFmt w:val="bullet"/>
      <w:suff w:val="tab"/>
      <w:lvlText w:val="•"/>
      <w:rPr>
        <w:color w:val="3370ff"/>
      </w:rPr>
    </w:lvl>
  </w:abstractNum>
  <w:abstractNum w:abstractNumId="53862">
    <w:lvl>
      <w:numFmt w:val="bullet"/>
      <w:suff w:val="tab"/>
      <w:lvlText w:val="•"/>
      <w:rPr>
        <w:color w:val="3370ff"/>
      </w:rPr>
    </w:lvl>
  </w:abstractNum>
  <w:abstractNum w:abstractNumId="53863">
    <w:lvl>
      <w:numFmt w:val="bullet"/>
      <w:suff w:val="tab"/>
      <w:lvlText w:val="•"/>
      <w:rPr>
        <w:color w:val="3370ff"/>
      </w:rPr>
    </w:lvl>
  </w:abstractNum>
  <w:abstractNum w:abstractNumId="53864">
    <w:lvl>
      <w:numFmt w:val="bullet"/>
      <w:suff w:val="tab"/>
      <w:lvlText w:val="•"/>
      <w:rPr>
        <w:color w:val="3370ff"/>
      </w:rPr>
    </w:lvl>
  </w:abstractNum>
  <w:abstractNum w:abstractNumId="53865">
    <w:lvl>
      <w:start w:val="1"/>
      <w:numFmt w:val="decimal"/>
      <w:suff w:val="tab"/>
      <w:lvlText w:val="%1."/>
      <w:rPr>
        <w:color w:val="3370ff"/>
      </w:rPr>
    </w:lvl>
  </w:abstractNum>
  <w:abstractNum w:abstractNumId="53866">
    <w:lvl>
      <w:start w:val="2"/>
      <w:numFmt w:val="decimal"/>
      <w:suff w:val="tab"/>
      <w:lvlText w:val="%1."/>
      <w:rPr>
        <w:color w:val="3370ff"/>
      </w:rPr>
    </w:lvl>
  </w:abstractNum>
  <w:abstractNum w:abstractNumId="53867">
    <w:lvl>
      <w:numFmt w:val="bullet"/>
      <w:suff w:val="tab"/>
      <w:lvlText w:val="•"/>
      <w:rPr>
        <w:color w:val="3370ff"/>
      </w:rPr>
    </w:lvl>
  </w:abstractNum>
  <w:abstractNum w:abstractNumId="53868">
    <w:lvl>
      <w:numFmt w:val="bullet"/>
      <w:suff w:val="tab"/>
      <w:lvlText w:val="•"/>
      <w:rPr>
        <w:color w:val="3370ff"/>
      </w:rPr>
    </w:lvl>
  </w:abstractNum>
  <w:abstractNum w:abstractNumId="53869">
    <w:lvl>
      <w:numFmt w:val="bullet"/>
      <w:suff w:val="tab"/>
      <w:lvlText w:val="•"/>
      <w:rPr>
        <w:color w:val="3370ff"/>
      </w:rPr>
    </w:lvl>
  </w:abstractNum>
  <w:abstractNum w:abstractNumId="53870">
    <w:lvl>
      <w:numFmt w:val="bullet"/>
      <w:suff w:val="tab"/>
      <w:lvlText w:val="•"/>
      <w:rPr>
        <w:color w:val="3370ff"/>
      </w:rPr>
    </w:lvl>
  </w:abstractNum>
  <w:abstractNum w:abstractNumId="53871">
    <w:lvl>
      <w:start w:val="1"/>
      <w:numFmt w:val="decimal"/>
      <w:suff w:val="tab"/>
      <w:lvlText w:val="%1."/>
      <w:rPr>
        <w:color w:val="3370ff"/>
      </w:rPr>
    </w:lvl>
  </w:abstractNum>
  <w:abstractNum w:abstractNumId="53872">
    <w:lvl>
      <w:numFmt w:val="bullet"/>
      <w:suff w:val="tab"/>
      <w:lvlText w:val="￮"/>
      <w:rPr>
        <w:color w:val="3370ff"/>
      </w:rPr>
    </w:lvl>
  </w:abstractNum>
  <w:abstractNum w:abstractNumId="53873">
    <w:lvl>
      <w:numFmt w:val="bullet"/>
      <w:suff w:val="tab"/>
      <w:lvlText w:val="￮"/>
      <w:rPr>
        <w:color w:val="3370ff"/>
      </w:rPr>
    </w:lvl>
  </w:abstractNum>
  <w:abstractNum w:abstractNumId="53874">
    <w:lvl>
      <w:numFmt w:val="bullet"/>
      <w:suff w:val="tab"/>
      <w:lvlText w:val="￮"/>
      <w:rPr>
        <w:color w:val="3370ff"/>
      </w:rPr>
    </w:lvl>
  </w:abstractNum>
  <w:abstractNum w:abstractNumId="53875">
    <w:lvl>
      <w:start w:val="2"/>
      <w:numFmt w:val="decimal"/>
      <w:suff w:val="tab"/>
      <w:lvlText w:val="%1."/>
      <w:rPr>
        <w:color w:val="3370ff"/>
      </w:rPr>
    </w:lvl>
  </w:abstractNum>
  <w:abstractNum w:abstractNumId="53876">
    <w:lvl>
      <w:numFmt w:val="bullet"/>
      <w:suff w:val="tab"/>
      <w:lvlText w:val="￮"/>
      <w:rPr>
        <w:color w:val="3370ff"/>
      </w:rPr>
    </w:lvl>
  </w:abstractNum>
  <w:abstractNum w:abstractNumId="53877">
    <w:lvl>
      <w:numFmt w:val="bullet"/>
      <w:suff w:val="tab"/>
      <w:lvlText w:val="￮"/>
      <w:rPr>
        <w:color w:val="3370ff"/>
      </w:rPr>
    </w:lvl>
  </w:abstractNum>
  <w:abstractNum w:abstractNumId="53878">
    <w:lvl>
      <w:numFmt w:val="bullet"/>
      <w:suff w:val="tab"/>
      <w:lvlText w:val="•"/>
      <w:rPr>
        <w:color w:val="3370ff"/>
      </w:rPr>
    </w:lvl>
  </w:abstractNum>
  <w:abstractNum w:abstractNumId="53879">
    <w:lvl>
      <w:start w:val="3"/>
      <w:numFmt w:val="decimal"/>
      <w:suff w:val="tab"/>
      <w:lvlText w:val="%1."/>
      <w:rPr>
        <w:color w:val="3370ff"/>
      </w:rPr>
    </w:lvl>
  </w:abstractNum>
  <w:abstractNum w:abstractNumId="53880">
    <w:lvl>
      <w:numFmt w:val="bullet"/>
      <w:suff w:val="tab"/>
      <w:lvlText w:val="￮"/>
      <w:rPr>
        <w:color w:val="3370ff"/>
      </w:rPr>
    </w:lvl>
  </w:abstractNum>
  <w:abstractNum w:abstractNumId="53881">
    <w:lvl>
      <w:numFmt w:val="bullet"/>
      <w:suff w:val="tab"/>
      <w:lvlText w:val="￮"/>
      <w:rPr>
        <w:color w:val="3370ff"/>
      </w:rPr>
    </w:lvl>
  </w:abstractNum>
  <w:abstractNum w:abstractNumId="53882">
    <w:lvl>
      <w:numFmt w:val="bullet"/>
      <w:suff w:val="tab"/>
      <w:lvlText w:val="￮"/>
      <w:rPr>
        <w:color w:val="3370ff"/>
      </w:rPr>
    </w:lvl>
  </w:abstractNum>
  <w:abstractNum w:abstractNumId="53883">
    <w:lvl>
      <w:start w:val="4"/>
      <w:numFmt w:val="decimal"/>
      <w:suff w:val="tab"/>
      <w:lvlText w:val="%1."/>
      <w:rPr>
        <w:color w:val="3370ff"/>
      </w:rPr>
    </w:lvl>
  </w:abstractNum>
  <w:abstractNum w:abstractNumId="53884">
    <w:lvl>
      <w:numFmt w:val="bullet"/>
      <w:suff w:val="tab"/>
      <w:lvlText w:val="￮"/>
      <w:rPr>
        <w:color w:val="3370ff"/>
      </w:rPr>
    </w:lvl>
  </w:abstractNum>
  <w:abstractNum w:abstractNumId="53885">
    <w:lvl>
      <w:numFmt w:val="bullet"/>
      <w:suff w:val="tab"/>
      <w:lvlText w:val="￮"/>
      <w:rPr>
        <w:color w:val="3370ff"/>
      </w:rPr>
    </w:lvl>
  </w:abstractNum>
  <w:abstractNum w:abstractNumId="53886">
    <w:lvl>
      <w:numFmt w:val="bullet"/>
      <w:suff w:val="tab"/>
      <w:lvlText w:val="￮"/>
      <w:rPr>
        <w:color w:val="3370ff"/>
      </w:rPr>
    </w:lvl>
  </w:abstractNum>
  <w:abstractNum w:abstractNumId="53887">
    <w:lvl>
      <w:numFmt w:val="bullet"/>
      <w:suff w:val="tab"/>
      <w:lvlText w:val="•"/>
      <w:rPr>
        <w:color w:val="3370ff"/>
      </w:rPr>
    </w:lvl>
  </w:abstractNum>
  <w:abstractNum w:abstractNumId="53888">
    <w:lvl>
      <w:numFmt w:val="bullet"/>
      <w:suff w:val="tab"/>
      <w:lvlText w:val="￮"/>
      <w:rPr>
        <w:color w:val="3370ff"/>
      </w:rPr>
    </w:lvl>
  </w:abstractNum>
  <w:abstractNum w:abstractNumId="53889">
    <w:lvl>
      <w:numFmt w:val="bullet"/>
      <w:suff w:val="tab"/>
      <w:lvlText w:val="￮"/>
      <w:rPr>
        <w:color w:val="3370ff"/>
      </w:rPr>
    </w:lvl>
  </w:abstractNum>
  <w:abstractNum w:abstractNumId="53890">
    <w:lvl>
      <w:numFmt w:val="bullet"/>
      <w:suff w:val="tab"/>
      <w:lvlText w:val="￮"/>
      <w:rPr>
        <w:color w:val="3370ff"/>
      </w:rPr>
    </w:lvl>
  </w:abstractNum>
  <w:abstractNum w:abstractNumId="53891">
    <w:lvl>
      <w:numFmt w:val="bullet"/>
      <w:suff w:val="tab"/>
      <w:lvlText w:val="•"/>
      <w:rPr>
        <w:color w:val="3370ff"/>
      </w:rPr>
    </w:lvl>
  </w:abstractNum>
  <w:abstractNum w:abstractNumId="53892">
    <w:lvl>
      <w:numFmt w:val="bullet"/>
      <w:suff w:val="tab"/>
      <w:lvlText w:val="￮"/>
      <w:rPr>
        <w:color w:val="3370ff"/>
      </w:rPr>
    </w:lvl>
  </w:abstractNum>
  <w:abstractNum w:abstractNumId="53893">
    <w:lvl>
      <w:numFmt w:val="bullet"/>
      <w:suff w:val="tab"/>
      <w:lvlText w:val="￮"/>
      <w:rPr>
        <w:color w:val="3370ff"/>
      </w:rPr>
    </w:lvl>
  </w:abstractNum>
  <w:abstractNum w:abstractNumId="53894">
    <w:lvl>
      <w:numFmt w:val="bullet"/>
      <w:suff w:val="tab"/>
      <w:lvlText w:val="•"/>
      <w:rPr>
        <w:color w:val="3370ff"/>
      </w:rPr>
    </w:lvl>
  </w:abstractNum>
  <w:abstractNum w:abstractNumId="53895">
    <w:lvl>
      <w:numFmt w:val="bullet"/>
      <w:suff w:val="tab"/>
      <w:lvlText w:val="￮"/>
      <w:rPr>
        <w:color w:val="3370ff"/>
      </w:rPr>
    </w:lvl>
  </w:abstractNum>
  <w:abstractNum w:abstractNumId="53896">
    <w:lvl>
      <w:numFmt w:val="bullet"/>
      <w:suff w:val="tab"/>
      <w:lvlText w:val="•"/>
      <w:rPr>
        <w:color w:val="3370ff"/>
      </w:rPr>
    </w:lvl>
  </w:abstractNum>
  <w:abstractNum w:abstractNumId="53897">
    <w:lvl>
      <w:numFmt w:val="bullet"/>
      <w:suff w:val="tab"/>
      <w:lvlText w:val="￮"/>
      <w:rPr>
        <w:color w:val="3370ff"/>
      </w:rPr>
    </w:lvl>
  </w:abstractNum>
  <w:abstractNum w:abstractNumId="53898">
    <w:lvl>
      <w:numFmt w:val="bullet"/>
      <w:suff w:val="tab"/>
      <w:lvlText w:val="￮"/>
      <w:rPr>
        <w:color w:val="3370ff"/>
      </w:rPr>
    </w:lvl>
  </w:abstractNum>
  <w:abstractNum w:abstractNumId="53899">
    <w:lvl>
      <w:numFmt w:val="bullet"/>
      <w:suff w:val="tab"/>
      <w:lvlText w:val="•"/>
      <w:rPr>
        <w:color w:val="3370ff"/>
      </w:rPr>
    </w:lvl>
  </w:abstractNum>
  <w:abstractNum w:abstractNumId="53900">
    <w:lvl>
      <w:numFmt w:val="bullet"/>
      <w:suff w:val="tab"/>
      <w:lvlText w:val="￮"/>
      <w:rPr>
        <w:color w:val="3370ff"/>
      </w:rPr>
    </w:lvl>
  </w:abstractNum>
  <w:abstractNum w:abstractNumId="53901">
    <w:lvl>
      <w:numFmt w:val="bullet"/>
      <w:suff w:val="tab"/>
      <w:lvlText w:val="￮"/>
      <w:rPr>
        <w:color w:val="3370ff"/>
      </w:rPr>
    </w:lvl>
  </w:abstractNum>
  <w:abstractNum w:abstractNumId="53902">
    <w:lvl>
      <w:numFmt w:val="bullet"/>
      <w:suff w:val="tab"/>
      <w:lvlText w:val="•"/>
      <w:rPr>
        <w:color w:val="3370ff"/>
      </w:rPr>
    </w:lvl>
  </w:abstractNum>
  <w:abstractNum w:abstractNumId="53903">
    <w:lvl>
      <w:numFmt w:val="bullet"/>
      <w:suff w:val="tab"/>
      <w:lvlText w:val="￮"/>
      <w:rPr>
        <w:color w:val="3370ff"/>
      </w:rPr>
    </w:lvl>
  </w:abstractNum>
  <w:abstractNum w:abstractNumId="53904">
    <w:lvl>
      <w:numFmt w:val="bullet"/>
      <w:suff w:val="tab"/>
      <w:lvlText w:val="•"/>
      <w:rPr>
        <w:color w:val="3370ff"/>
      </w:rPr>
    </w:lvl>
  </w:abstractNum>
  <w:abstractNum w:abstractNumId="53905">
    <w:lvl>
      <w:numFmt w:val="bullet"/>
      <w:suff w:val="tab"/>
      <w:lvlText w:val="￮"/>
      <w:rPr>
        <w:color w:val="3370ff"/>
      </w:rPr>
    </w:lvl>
  </w:abstractNum>
  <w:abstractNum w:abstractNumId="53906">
    <w:lvl>
      <w:numFmt w:val="bullet"/>
      <w:suff w:val="tab"/>
      <w:lvlText w:val="￮"/>
      <w:rPr>
        <w:color w:val="3370ff"/>
      </w:rPr>
    </w:lvl>
  </w:abstractNum>
  <w:abstractNum w:abstractNumId="53907">
    <w:lvl>
      <w:numFmt w:val="bullet"/>
      <w:suff w:val="tab"/>
      <w:lvlText w:val="•"/>
      <w:rPr>
        <w:color w:val="3370ff"/>
      </w:rPr>
    </w:lvl>
  </w:abstractNum>
  <w:abstractNum w:abstractNumId="53908">
    <w:lvl>
      <w:numFmt w:val="bullet"/>
      <w:suff w:val="tab"/>
      <w:lvlText w:val="￮"/>
      <w:rPr>
        <w:color w:val="3370ff"/>
      </w:rPr>
    </w:lvl>
  </w:abstractNum>
  <w:abstractNum w:abstractNumId="53909">
    <w:lvl>
      <w:numFmt w:val="bullet"/>
      <w:suff w:val="tab"/>
      <w:lvlText w:val="￮"/>
      <w:rPr>
        <w:color w:val="3370ff"/>
      </w:rPr>
    </w:lvl>
  </w:abstractNum>
  <w:abstractNum w:abstractNumId="53910">
    <w:lvl>
      <w:numFmt w:val="bullet"/>
      <w:suff w:val="tab"/>
      <w:lvlText w:val="•"/>
      <w:rPr>
        <w:color w:val="3370ff"/>
      </w:rPr>
    </w:lvl>
  </w:abstractNum>
  <w:abstractNum w:abstractNumId="53911">
    <w:lvl>
      <w:numFmt w:val="bullet"/>
      <w:suff w:val="tab"/>
      <w:lvlText w:val="￮"/>
      <w:rPr>
        <w:color w:val="3370ff"/>
      </w:rPr>
    </w:lvl>
  </w:abstractNum>
  <w:abstractNum w:abstractNumId="53912">
    <w:lvl>
      <w:numFmt w:val="bullet"/>
      <w:suff w:val="tab"/>
      <w:lvlText w:val="￮"/>
      <w:rPr>
        <w:color w:val="3370ff"/>
      </w:rPr>
    </w:lvl>
  </w:abstractNum>
  <w:abstractNum w:abstractNumId="53913">
    <w:lvl>
      <w:numFmt w:val="bullet"/>
      <w:suff w:val="tab"/>
      <w:lvlText w:val="•"/>
      <w:rPr>
        <w:color w:val="3370ff"/>
      </w:rPr>
    </w:lvl>
  </w:abstractNum>
  <w:abstractNum w:abstractNumId="53914">
    <w:lvl>
      <w:numFmt w:val="bullet"/>
      <w:suff w:val="tab"/>
      <w:lvlText w:val="•"/>
      <w:rPr>
        <w:color w:val="3370ff"/>
      </w:rPr>
    </w:lvl>
  </w:abstractNum>
  <w:abstractNum w:abstractNumId="53915">
    <w:lvl>
      <w:numFmt w:val="bullet"/>
      <w:suff w:val="tab"/>
      <w:lvlText w:val="￮"/>
      <w:rPr>
        <w:color w:val="3370ff"/>
      </w:rPr>
    </w:lvl>
  </w:abstractNum>
  <w:abstractNum w:abstractNumId="53916">
    <w:lvl>
      <w:numFmt w:val="bullet"/>
      <w:suff w:val="tab"/>
      <w:lvlText w:val="￮"/>
      <w:rPr>
        <w:color w:val="3370ff"/>
      </w:rPr>
    </w:lvl>
  </w:abstractNum>
  <w:num w:numId="1">
    <w:abstractNumId w:val="53858"/>
  </w:num>
  <w:num w:numId="2">
    <w:abstractNumId w:val="53859"/>
  </w:num>
  <w:num w:numId="3">
    <w:abstractNumId w:val="53860"/>
  </w:num>
  <w:num w:numId="4">
    <w:abstractNumId w:val="53861"/>
  </w:num>
  <w:num w:numId="5">
    <w:abstractNumId w:val="53862"/>
  </w:num>
  <w:num w:numId="6">
    <w:abstractNumId w:val="53863"/>
  </w:num>
  <w:num w:numId="7">
    <w:abstractNumId w:val="53864"/>
  </w:num>
  <w:num w:numId="8">
    <w:abstractNumId w:val="53865"/>
  </w:num>
  <w:num w:numId="9">
    <w:abstractNumId w:val="53866"/>
  </w:num>
  <w:num w:numId="10">
    <w:abstractNumId w:val="53867"/>
  </w:num>
  <w:num w:numId="11">
    <w:abstractNumId w:val="53868"/>
  </w:num>
  <w:num w:numId="12">
    <w:abstractNumId w:val="53869"/>
  </w:num>
  <w:num w:numId="13">
    <w:abstractNumId w:val="53870"/>
  </w:num>
  <w:num w:numId="14">
    <w:abstractNumId w:val="53871"/>
  </w:num>
  <w:num w:numId="15">
    <w:abstractNumId w:val="53872"/>
  </w:num>
  <w:num w:numId="16">
    <w:abstractNumId w:val="53873"/>
  </w:num>
  <w:num w:numId="17">
    <w:abstractNumId w:val="53874"/>
  </w:num>
  <w:num w:numId="18">
    <w:abstractNumId w:val="53875"/>
  </w:num>
  <w:num w:numId="19">
    <w:abstractNumId w:val="53876"/>
  </w:num>
  <w:num w:numId="20">
    <w:abstractNumId w:val="53877"/>
  </w:num>
  <w:num w:numId="21">
    <w:abstractNumId w:val="53878"/>
  </w:num>
  <w:num w:numId="22">
    <w:abstractNumId w:val="53879"/>
  </w:num>
  <w:num w:numId="23">
    <w:abstractNumId w:val="53880"/>
  </w:num>
  <w:num w:numId="24">
    <w:abstractNumId w:val="53881"/>
  </w:num>
  <w:num w:numId="25">
    <w:abstractNumId w:val="53882"/>
  </w:num>
  <w:num w:numId="26">
    <w:abstractNumId w:val="53883"/>
  </w:num>
  <w:num w:numId="27">
    <w:abstractNumId w:val="53884"/>
  </w:num>
  <w:num w:numId="28">
    <w:abstractNumId w:val="53885"/>
  </w:num>
  <w:num w:numId="29">
    <w:abstractNumId w:val="53886"/>
  </w:num>
  <w:num w:numId="30">
    <w:abstractNumId w:val="53887"/>
  </w:num>
  <w:num w:numId="31">
    <w:abstractNumId w:val="53888"/>
  </w:num>
  <w:num w:numId="32">
    <w:abstractNumId w:val="53889"/>
  </w:num>
  <w:num w:numId="33">
    <w:abstractNumId w:val="53890"/>
  </w:num>
  <w:num w:numId="34">
    <w:abstractNumId w:val="53891"/>
  </w:num>
  <w:num w:numId="35">
    <w:abstractNumId w:val="53892"/>
  </w:num>
  <w:num w:numId="36">
    <w:abstractNumId w:val="53893"/>
  </w:num>
  <w:num w:numId="37">
    <w:abstractNumId w:val="53894"/>
  </w:num>
  <w:num w:numId="38">
    <w:abstractNumId w:val="53895"/>
  </w:num>
  <w:num w:numId="39">
    <w:abstractNumId w:val="53896"/>
  </w:num>
  <w:num w:numId="40">
    <w:abstractNumId w:val="53897"/>
  </w:num>
  <w:num w:numId="41">
    <w:abstractNumId w:val="53898"/>
  </w:num>
  <w:num w:numId="42">
    <w:abstractNumId w:val="53899"/>
  </w:num>
  <w:num w:numId="43">
    <w:abstractNumId w:val="53900"/>
  </w:num>
  <w:num w:numId="44">
    <w:abstractNumId w:val="53901"/>
  </w:num>
  <w:num w:numId="45">
    <w:abstractNumId w:val="53902"/>
  </w:num>
  <w:num w:numId="46">
    <w:abstractNumId w:val="53903"/>
  </w:num>
  <w:num w:numId="47">
    <w:abstractNumId w:val="53904"/>
  </w:num>
  <w:num w:numId="48">
    <w:abstractNumId w:val="53905"/>
  </w:num>
  <w:num w:numId="49">
    <w:abstractNumId w:val="53906"/>
  </w:num>
  <w:num w:numId="50">
    <w:abstractNumId w:val="53907"/>
  </w:num>
  <w:num w:numId="51">
    <w:abstractNumId w:val="53908"/>
  </w:num>
  <w:num w:numId="52">
    <w:abstractNumId w:val="53909"/>
  </w:num>
  <w:num w:numId="53">
    <w:abstractNumId w:val="53910"/>
  </w:num>
  <w:num w:numId="54">
    <w:abstractNumId w:val="53911"/>
  </w:num>
  <w:num w:numId="55">
    <w:abstractNumId w:val="53912"/>
  </w:num>
  <w:num w:numId="56">
    <w:abstractNumId w:val="53913"/>
  </w:num>
  <w:num w:numId="57">
    <w:abstractNumId w:val="53914"/>
  </w:num>
  <w:num w:numId="58">
    <w:abstractNumId w:val="53915"/>
  </w:num>
  <w:num w:numId="59">
    <w:abstractNumId w:val="5391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2026-10-26T08:11:20Z</dcterms:created>
  <dc:creator>Apache POI</dc:creator>
</cp:coreProperties>
</file>