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2D793"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образования Республики Беларусь</w:t>
      </w:r>
    </w:p>
    <w:p w14:paraId="42DEB623"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образования</w:t>
      </w:r>
    </w:p>
    <w:p w14:paraId="6DD1F7AD"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«Белорусский государственный университет информатики и радиоэлектроники»</w:t>
      </w:r>
    </w:p>
    <w:p w14:paraId="5B209831">
      <w:pPr>
        <w:spacing w:after="90"/>
        <w:jc w:val="center"/>
      </w:pPr>
      <w:r>
        <w:rPr>
          <w:rFonts w:ascii="Times New Roman" w:hAnsi="Times New Roman" w:eastAsia="Times New Roman"/>
          <w:b/>
          <w:sz w:val="40"/>
        </w:rPr>
        <w:t>ОТЧЁТ</w:t>
      </w:r>
    </w:p>
    <w:p w14:paraId="0C52EC80"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о патентном поиске</w:t>
      </w:r>
    </w:p>
    <w:p w14:paraId="59D4C7D0">
      <w:pPr>
        <w:spacing w:after="20"/>
        <w:jc w:val="center"/>
        <w:rPr>
          <w:rFonts w:ascii="Times New Roman" w:hAnsi="Times New Roman" w:eastAsia="Times New Roman"/>
          <w:b w:val="0"/>
          <w:sz w:val="28"/>
        </w:rPr>
      </w:pPr>
      <w:r>
        <w:rPr>
          <w:rFonts w:ascii="Times New Roman" w:hAnsi="Times New Roman" w:eastAsia="Times New Roman"/>
          <w:b w:val="0"/>
          <w:sz w:val="28"/>
        </w:rPr>
        <w:t>по теме:</w:t>
      </w:r>
    </w:p>
    <w:p w14:paraId="7EDB1680">
      <w:pPr>
        <w:spacing w:after="20"/>
        <w:jc w:val="center"/>
        <w:rPr>
          <w:rFonts w:ascii="Times New Roman" w:hAnsi="Times New Roman" w:eastAsia="Times New Roman"/>
          <w:b w:val="0"/>
          <w:sz w:val="28"/>
        </w:rPr>
      </w:pPr>
    </w:p>
    <w:p w14:paraId="20BEB4ED">
      <w:pPr>
        <w:spacing w:after="20"/>
        <w:jc w:val="center"/>
        <w:rPr>
          <w:rFonts w:ascii="Times New Roman" w:hAnsi="Times New Roman" w:eastAsia="Times New Roman"/>
          <w:b w:val="0"/>
          <w:sz w:val="28"/>
        </w:rPr>
      </w:pPr>
    </w:p>
    <w:p w14:paraId="412704DE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ascii="Times New Roman" w:hAnsi="Times New Roman" w:eastAsia="Times New Roman"/>
          <w:b/>
          <w:sz w:val="32"/>
        </w:rPr>
        <w:t>«Бортовая экспертная система предиктивной диагностики узлов автомобиля»</w:t>
      </w:r>
    </w:p>
    <w:p w14:paraId="6916D9EE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2379B36A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387C9D36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2ECB27E1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7D453709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383B08CB">
      <w:pPr>
        <w:spacing w:after="120"/>
        <w:jc w:val="both"/>
        <w:rPr>
          <w:rFonts w:hint="default" w:ascii="Times New Roman" w:hAnsi="Times New Roman" w:eastAsia="Times New Roman"/>
          <w:b/>
          <w:sz w:val="32"/>
          <w:lang w:val="ru-RU"/>
        </w:rPr>
      </w:pPr>
      <w:bookmarkStart w:id="0" w:name="_GoBack"/>
      <w:bookmarkEnd w:id="0"/>
    </w:p>
    <w:p w14:paraId="46D2DA52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5E1A67F2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0CC9E200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66045E3E">
      <w:pPr>
        <w:spacing w:after="120"/>
        <w:jc w:val="center"/>
        <w:rPr>
          <w:rFonts w:ascii="Times New Roman" w:hAnsi="Times New Roman" w:eastAsia="Times New Roman"/>
          <w:b/>
          <w:sz w:val="32"/>
        </w:rPr>
      </w:pPr>
    </w:p>
    <w:p w14:paraId="7B9FA0BB">
      <w:pPr>
        <w:spacing w:after="120"/>
        <w:jc w:val="both"/>
        <w:rPr>
          <w:rFonts w:hint="default" w:ascii="Times New Roman" w:hAnsi="Times New Roman" w:eastAsia="Times New Roman"/>
          <w:b/>
          <w:sz w:val="32"/>
          <w:lang w:val="ru-RU"/>
        </w:rPr>
      </w:pPr>
    </w:p>
    <w:p w14:paraId="31D3990D">
      <w:pPr>
        <w:wordWrap w:val="0"/>
        <w:jc w:val="right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Выполнил:</w:t>
      </w:r>
      <w:r>
        <w:rPr>
          <w:rFonts w:hint="default"/>
          <w:sz w:val="28"/>
          <w:lang w:val="ru-RU"/>
        </w:rPr>
        <w:t xml:space="preserve"> Сечейко Н.В.</w:t>
      </w:r>
    </w:p>
    <w:p w14:paraId="5E2C2B37">
      <w:pPr>
        <w:wordWrap w:val="0"/>
        <w:jc w:val="right"/>
        <w:rPr>
          <w:rFonts w:hint="default"/>
          <w:lang w:val="ru-RU"/>
        </w:rPr>
      </w:pPr>
      <w:r>
        <w:rPr>
          <w:rFonts w:ascii="Times New Roman" w:hAnsi="Times New Roman"/>
          <w:sz w:val="28"/>
        </w:rPr>
        <w:t>Проверил:</w:t>
      </w:r>
      <w:r>
        <w:rPr>
          <w:rFonts w:hint="default"/>
          <w:sz w:val="28"/>
          <w:lang w:val="ru-RU"/>
        </w:rPr>
        <w:t xml:space="preserve"> Каршакевич В.М.</w:t>
      </w:r>
    </w:p>
    <w:p w14:paraId="41D2E774">
      <w:r>
        <w:br w:type="textWrapping"/>
      </w:r>
      <w:r>
        <w:br w:type="textWrapping"/>
      </w:r>
    </w:p>
    <w:p w14:paraId="104A61E7">
      <w:pPr>
        <w:jc w:val="center"/>
      </w:pPr>
      <w:r>
        <w:rPr>
          <w:rFonts w:ascii="Times New Roman" w:hAnsi="Times New Roman"/>
          <w:sz w:val="28"/>
        </w:rPr>
        <w:t>г. Минск 2026</w:t>
      </w:r>
    </w:p>
    <w:p w14:paraId="1291A162">
      <w:r>
        <w:br w:type="page"/>
      </w:r>
    </w:p>
    <w:p w14:paraId="3317421D"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РЕГЛАМЕНТ ПОИСКА</w:t>
      </w:r>
    </w:p>
    <w:p w14:paraId="28848549">
      <w:pPr>
        <w:spacing w:after="60"/>
      </w:pPr>
      <w:r>
        <w:rPr>
          <w:rFonts w:ascii="Times New Roman" w:hAnsi="Times New Roman" w:eastAsia="Times New Roman"/>
          <w:b/>
          <w:sz w:val="24"/>
        </w:rPr>
        <w:t xml:space="preserve">Наименование темы: </w:t>
      </w:r>
      <w:r>
        <w:rPr>
          <w:rFonts w:ascii="Times New Roman" w:hAnsi="Times New Roman" w:eastAsia="Times New Roman"/>
          <w:sz w:val="24"/>
        </w:rPr>
        <w:t>«Бортовая экспертная система предиктивной диагностики узлов автомобиля»</w:t>
      </w:r>
    </w:p>
    <w:p w14:paraId="2315E51A">
      <w:pPr>
        <w:spacing w:after="60"/>
      </w:pPr>
      <w:r>
        <w:rPr>
          <w:rFonts w:ascii="Times New Roman" w:hAnsi="Times New Roman" w:eastAsia="Times New Roman"/>
          <w:b/>
          <w:sz w:val="24"/>
        </w:rPr>
        <w:t xml:space="preserve">Шифр темы: </w:t>
      </w:r>
      <w:r>
        <w:rPr>
          <w:rFonts w:ascii="Times New Roman" w:hAnsi="Times New Roman" w:eastAsia="Times New Roman"/>
          <w:sz w:val="24"/>
        </w:rPr>
        <w:t>07-НТИР-2026</w:t>
      </w:r>
    </w:p>
    <w:p w14:paraId="1A7F0815">
      <w:pPr>
        <w:spacing w:after="60"/>
      </w:pPr>
      <w:r>
        <w:rPr>
          <w:rFonts w:ascii="Times New Roman" w:hAnsi="Times New Roman" w:eastAsia="Times New Roman"/>
          <w:b/>
          <w:sz w:val="24"/>
        </w:rPr>
        <w:t xml:space="preserve">Цель поиска информации: </w:t>
      </w:r>
      <w:r>
        <w:rPr>
          <w:rFonts w:ascii="Times New Roman" w:hAnsi="Times New Roman" w:eastAsia="Times New Roman"/>
          <w:sz w:val="24"/>
        </w:rPr>
        <w:t>Определение научно-технического уровня, выявление тенденций развития бортовых систем мониторинга технического состояния автомобиля, экспертной диагностики, прогнозирования отказов узлов и формирования рекомендаций по техническому обслуживанию.</w:t>
      </w:r>
    </w:p>
    <w:p w14:paraId="14E206F1">
      <w:pPr>
        <w:spacing w:after="60"/>
      </w:pPr>
      <w:r>
        <w:rPr>
          <w:rFonts w:ascii="Times New Roman" w:hAnsi="Times New Roman" w:eastAsia="Times New Roman"/>
          <w:b/>
          <w:sz w:val="24"/>
        </w:rPr>
        <w:t xml:space="preserve">Обоснование регламента поиска: </w:t>
      </w:r>
      <w:r>
        <w:rPr>
          <w:rFonts w:ascii="Times New Roman" w:hAnsi="Times New Roman" w:eastAsia="Times New Roman"/>
          <w:sz w:val="24"/>
        </w:rPr>
        <w:t>Регламент включает патентно-информационные исследования по рубрикам МПК, УДК и тематическим источникам, охватывающим заявляемую область: сбор телеметрии автомобиля, анализ диагностических кодов, обработку данных CAN/OBD-II, машинное обучение, экспертные правила, предиктивную аналитику и рекомендации по ремонту. Глубина поиска 7-10 лет достаточна для оценки технического уровня на стадии подготовки заявки.</w:t>
      </w:r>
    </w:p>
    <w:p w14:paraId="7A205050">
      <w:pPr>
        <w:spacing w:after="60"/>
      </w:pPr>
      <w:r>
        <w:rPr>
          <w:rFonts w:ascii="Times New Roman" w:hAnsi="Times New Roman" w:eastAsia="Times New Roman"/>
          <w:b/>
          <w:sz w:val="24"/>
        </w:rPr>
        <w:t xml:space="preserve">Начало поиска: </w:t>
      </w:r>
      <w:r>
        <w:rPr>
          <w:rFonts w:ascii="Times New Roman" w:hAnsi="Times New Roman" w:eastAsia="Times New Roman"/>
          <w:sz w:val="24"/>
        </w:rPr>
        <w:t>«3» августа 2025 г.; окончание поиска: «07» марта 2026 г.</w:t>
      </w:r>
    </w:p>
    <w:p w14:paraId="6955C4A6">
      <w:r>
        <w:br w:type="page"/>
      </w:r>
    </w:p>
    <w:p w14:paraId="631D4037"/>
    <w:p w14:paraId="39FEF879"/>
    <w:p w14:paraId="36F9D9A2"/>
    <w:p w14:paraId="17DFC085"/>
    <w:p w14:paraId="6AE36B1C"/>
    <w:p w14:paraId="10031553"/>
    <w:p w14:paraId="6D057F6B"/>
    <w:p w14:paraId="5040B6CF"/>
    <w:p w14:paraId="5648D74B"/>
    <w:p w14:paraId="5BDFA352"/>
    <w:p w14:paraId="1D41D94C"/>
    <w:p w14:paraId="2301AD92"/>
    <w:p w14:paraId="1F22122D"/>
    <w:p w14:paraId="2E5C5090"/>
    <w:p w14:paraId="6D89082F"/>
    <w:p w14:paraId="0B6BA174"/>
    <w:p w14:paraId="30A8E262"/>
    <w:p w14:paraId="47BF058A"/>
    <w:p w14:paraId="31242AC7"/>
    <w:p w14:paraId="218EF1F0"/>
    <w:p w14:paraId="214E6EDA"/>
    <w:p w14:paraId="5894312F"/>
    <w:p w14:paraId="34590E6F"/>
    <w:p w14:paraId="31B13CAE"/>
    <w:p w14:paraId="66C3EEE6"/>
    <w:p w14:paraId="533A7783"/>
    <w:p w14:paraId="7AAE4F3C">
      <w:pPr>
        <w:sectPr>
          <w:pgSz w:w="12240" w:h="15840"/>
          <w:pgMar w:top="1134" w:right="964" w:bottom="1134" w:left="1247" w:header="720" w:footer="720" w:gutter="0"/>
          <w:cols w:space="720" w:num="1"/>
          <w:docGrid w:linePitch="360" w:charSpace="0"/>
        </w:sectPr>
      </w:pPr>
    </w:p>
    <w:p w14:paraId="6AFC06C6">
      <w:pPr>
        <w:spacing w:after="40"/>
        <w:jc w:val="left"/>
      </w:pPr>
      <w:r>
        <w:rPr>
          <w:rFonts w:ascii="Times New Roman" w:hAnsi="Times New Roman" w:eastAsia="Times New Roman"/>
          <w:b w:val="0"/>
          <w:sz w:val="22"/>
        </w:rPr>
        <w:t>Таблица 1 – Регламент поиска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0FE2CD22">
        <w:trPr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0C0ACC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Предмет поиска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64AD3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Страна поиска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021D4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Патентные источники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60CF1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Классы МПК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A5319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НТИ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A52C1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УДК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5A6D9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Ретроспективность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15410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База</w:t>
            </w:r>
          </w:p>
        </w:tc>
      </w:tr>
      <w:tr w14:paraId="586D0AFE">
        <w:trPr>
          <w:jc w:val="center"/>
        </w:trPr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F9DAFE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8E2F8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РБ, РФ, США, ЕР, WO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7CF93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Изобретения. Полезные модели. Патентные заявки. Патентные публикации USPTO, EPO, WIPO, ФИПС и Белгоспатент.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0A700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G07C 5/08; G07C 5/0808; G01M 17/007; B60W 50/02; B60R 16/023; G05B 23/02; G06N 20/00; G06Q 10/20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52D2A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Системы мониторинга технического состояния транспорта; автомобильная диагностика; предиктивное техническое обслуживание; экспертные системы; машинное обучение в диагностике.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07EBD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629.331:004.89; 681.518.54:629.33; 004.8:658.58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EF10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10 лет</w:t>
            </w:r>
          </w:p>
        </w:tc>
        <w:tc>
          <w:tcPr>
            <w:tcW w:w="18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0081B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belgospatent.org.by, fips.ru, espacenet.com, patents.google.com, uspto.gov, wipo.int</w:t>
            </w:r>
          </w:p>
        </w:tc>
      </w:tr>
    </w:tbl>
    <w:p w14:paraId="451B378C">
      <w:r>
        <w:br w:type="page"/>
      </w:r>
    </w:p>
    <w:p w14:paraId="3A9D9229">
      <w:pPr>
        <w:spacing w:after="40"/>
        <w:jc w:val="left"/>
      </w:pPr>
      <w:r>
        <w:rPr>
          <w:rFonts w:ascii="Times New Roman" w:hAnsi="Times New Roman" w:eastAsia="Times New Roman"/>
          <w:b w:val="0"/>
          <w:sz w:val="22"/>
        </w:rPr>
        <w:t>Таблица 2 – Патентная документация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3620"/>
        <w:gridCol w:w="3620"/>
        <w:gridCol w:w="3620"/>
      </w:tblGrid>
      <w:tr w14:paraId="3EBB8FBD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6C952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Предмет поиска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E42E3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Страна, номер, МПК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1B044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Заявитель, дата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A7FFF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Название</w:t>
            </w:r>
          </w:p>
        </w:tc>
      </w:tr>
      <w:tr w14:paraId="4957167A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C6F2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2039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РФ, RU 2787310 C1; G07C 5/08, G01M 17/007, G06Q 50/30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0FE90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ООО «Инфоматикс» (RU), заявка 2022110604; опубл. 09.01.2023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E3F79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Бортовой аналитический комплекс для транспортных средств</w:t>
            </w:r>
          </w:p>
        </w:tc>
      </w:tr>
      <w:tr w14:paraId="6A8595A2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3231C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B023F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11768129 B2; G01M 17/007, G06N 20/20, G07C 5/0808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4243AE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Volvo Car Corporation (SE), заявка US16/410850; опубл. 26.09.2023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B4D72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Machine-learning based vehicle diagnostics and maintenance</w:t>
            </w:r>
          </w:p>
        </w:tc>
      </w:tr>
      <w:tr w14:paraId="04587651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355C3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BB55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WO, WO 2019185657 A1; B60W 50/02, G07C 5/08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56CE6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We Predict Ltd (GB), PCT/EP2019/057638; опубл. 03.10.2019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07815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 vehicle diagnostics method</w:t>
            </w:r>
          </w:p>
        </w:tc>
      </w:tr>
      <w:tr w14:paraId="3D2B1813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C28CD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3D7C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20210049839 A1; G06N 3/049, G07C 5/0808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F64C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Micron Technology Inc. (US), заявка US16/538006; опубл. 18.02.2021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D525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Automotive predictive maintenance</w:t>
            </w:r>
          </w:p>
        </w:tc>
      </w:tr>
      <w:tr w14:paraId="3A418B90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6BE9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8138D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20210049833 A1; B60W 50/02, G06N 3/049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EFE1A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Micron Technology Inc. (US), заявка US16/538103; опубл. 18.02.2021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4C132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 maintenance of automotive powertrain</w:t>
            </w:r>
          </w:p>
        </w:tc>
      </w:tr>
      <w:tr w14:paraId="72246A0C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C912C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6218D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11574508 B2; G07C 5/08, G06Q 10/20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7964A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David A. Stringfield (US), заявка US17/739545; опубл. 07.02.2023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EA3DE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Predictive, preventative and conditional maintenance method and system for commercial vehicle fleets</w:t>
            </w:r>
          </w:p>
        </w:tc>
      </w:tr>
      <w:tr w14:paraId="4E7D7098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8AB7F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090CA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WO, WO 2020112337 A1; G06Q 10/20, G05B 23/02, G07C 5/08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A9769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ExxonMobil Research and Engineering Co. (US), PCT/US2019/060809; опубл. 04.06.2020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2864E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 maintenance</w:t>
            </w:r>
          </w:p>
        </w:tc>
      </w:tr>
      <w:tr w14:paraId="28CDEFF5">
        <w:trPr>
          <w:jc w:val="center"/>
        </w:trPr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42C9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8614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9043076 B2; G05B 23/0283, G07C 5/08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FA888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International Business Machines Corp. (US), заявка US13/893266; опубл. 26.05.2015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005AF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Automating predictive maintenance for automobiles</w:t>
            </w:r>
          </w:p>
        </w:tc>
      </w:tr>
    </w:tbl>
    <w:p w14:paraId="14BBDB01">
      <w:r>
        <w:br w:type="page"/>
      </w:r>
    </w:p>
    <w:p w14:paraId="398E461C">
      <w:pPr>
        <w:spacing w:after="80"/>
        <w:jc w:val="left"/>
      </w:pPr>
      <w:r>
        <w:rPr>
          <w:rFonts w:ascii="Times New Roman" w:hAnsi="Times New Roman" w:eastAsia="Times New Roman"/>
          <w:b/>
          <w:sz w:val="24"/>
        </w:rPr>
        <w:t>Сведения о выполнении регламента поиска</w:t>
      </w:r>
    </w:p>
    <w:p w14:paraId="1A5A7DEC">
      <w:pPr>
        <w:ind w:left="283" w:hanging="142"/>
      </w:pPr>
      <w:r>
        <w:rPr>
          <w:rFonts w:ascii="Times New Roman" w:hAnsi="Times New Roman" w:eastAsia="Times New Roman"/>
          <w:sz w:val="22"/>
        </w:rPr>
        <w:t>• Регламент поиска выполнен полностью без отступлений.</w:t>
      </w:r>
    </w:p>
    <w:p w14:paraId="092E48D4">
      <w:pPr>
        <w:ind w:left="283" w:hanging="142"/>
      </w:pPr>
      <w:r>
        <w:rPr>
          <w:rFonts w:ascii="Times New Roman" w:hAnsi="Times New Roman" w:eastAsia="Times New Roman"/>
          <w:sz w:val="22"/>
        </w:rPr>
        <w:t>• Поиск проведён по отечественным и зарубежным патентным источникам, охватывающим устройства бортовой диагностики, обработку телеметрии, экспертные правила, машинное обучение и прогнозирование отказов узлов автомобиля.</w:t>
      </w:r>
    </w:p>
    <w:p w14:paraId="462218FB">
      <w:pPr>
        <w:ind w:left="283" w:hanging="142"/>
      </w:pPr>
      <w:r>
        <w:rPr>
          <w:rFonts w:ascii="Times New Roman" w:hAnsi="Times New Roman" w:eastAsia="Times New Roman"/>
          <w:sz w:val="22"/>
        </w:rPr>
        <w:t>• Результаты поиска будут использованы как база для уточнения отличительных признаков заявляемой бортовой экспертной системы и подготовки формулы изобретения.</w:t>
      </w:r>
    </w:p>
    <w:p w14:paraId="74D3840F">
      <w:pPr>
        <w:spacing w:after="40"/>
        <w:jc w:val="left"/>
      </w:pPr>
      <w:r>
        <w:rPr>
          <w:rFonts w:ascii="Times New Roman" w:hAnsi="Times New Roman" w:eastAsia="Times New Roman"/>
          <w:b w:val="0"/>
          <w:sz w:val="22"/>
        </w:rPr>
        <w:t>Таблица 3 – Патентная документация (отобранная для анализа)</w:t>
      </w:r>
    </w:p>
    <w:tbl>
      <w:tblPr>
        <w:tblStyle w:val="12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0"/>
        <w:gridCol w:w="3620"/>
        <w:gridCol w:w="3620"/>
        <w:gridCol w:w="3620"/>
      </w:tblGrid>
      <w:tr w14:paraId="7BE4F458"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ECA52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Предмет поиска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02096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Страна, номер, МПК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3F45E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Заявитель, дата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C1E96"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Название</w:t>
            </w:r>
          </w:p>
        </w:tc>
      </w:tr>
      <w:tr w14:paraId="723339AF"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EF8ED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FAFEE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РФ, RU 2787310 C1; G07C 5/08, G01M 17/007, G06Q 50/30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943A3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ООО «Инфоматикс» (RU), 09.01.2023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E129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Бортовой аналитический комплекс для транспортных средств</w:t>
            </w:r>
          </w:p>
        </w:tc>
      </w:tr>
      <w:tr w14:paraId="12FEF5AE"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88423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8F770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11768129 B2; G01M 17/007, G06N 20/20, G07C 5/0808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31D3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Volvo Car Corporation (SE), 26.09.2023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6DF68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Machine-learning based vehicle diagnostics and maintenance</w:t>
            </w:r>
          </w:p>
        </w:tc>
      </w:tr>
      <w:tr w14:paraId="46C2198B"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FB5EA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EF837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WO, WO 2019185657 A1; B60W 50/02, G07C 5/08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83DE6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We Predict Ltd (GB), 03.10.2019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9395C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 vehicle diagnostics method</w:t>
            </w:r>
          </w:p>
        </w:tc>
      </w:tr>
      <w:tr w14:paraId="7AAC3193"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2E28B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Бортовая экспертная система предиктивной диагностики узлов автомобиля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5A874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US, US 11574508 B2; G07C 5/08, G06Q 10/20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C87C9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David A. Stringfield (US), 07.02.2023</w:t>
            </w:r>
          </w:p>
        </w:tc>
        <w:tc>
          <w:tcPr>
            <w:tcW w:w="36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72F05"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Predictive, preventative and conditional maintenance method and system for commercial vehicle fleets</w:t>
            </w:r>
          </w:p>
        </w:tc>
      </w:tr>
    </w:tbl>
    <w:p w14:paraId="5E897B59">
      <w:r>
        <w:br w:type="page"/>
      </w:r>
    </w:p>
    <w:p w14:paraId="04D6D1E9">
      <w:pPr>
        <w:sectPr>
          <w:pgSz w:w="15840" w:h="12240" w:orient="landscape"/>
          <w:pgMar w:top="737" w:right="680" w:bottom="737" w:left="680" w:header="720" w:footer="720" w:gutter="0"/>
          <w:cols w:space="720" w:num="1"/>
          <w:docGrid w:linePitch="360" w:charSpace="0"/>
        </w:sectPr>
      </w:pPr>
    </w:p>
    <w:p w14:paraId="6D07E820"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 w14:paraId="0AFAF41C">
      <w:pPr>
        <w:spacing w:after="160"/>
        <w:jc w:val="center"/>
      </w:pPr>
      <w:r>
        <w:rPr>
          <w:rFonts w:ascii="Times New Roman" w:hAnsi="Times New Roman" w:eastAsia="Times New Roman"/>
          <w:b/>
          <w:sz w:val="24"/>
        </w:rPr>
        <w:t>АНАЛИЗ НОВИЗНЫ И ЗНАЧИМОСТИ РАССМАТРИВАЕМОЙ ПРОБЛЕМЫ В СРАВНЕНИИ С ДОСТИЖЕНИЯМИ МИРОВОЙ НАУКИ И ТЕХНИКИ</w:t>
      </w:r>
    </w:p>
    <w:p w14:paraId="45C267D5">
      <w:pPr>
        <w:spacing w:after="100"/>
        <w:jc w:val="both"/>
      </w:pPr>
      <w:r>
        <w:rPr>
          <w:rFonts w:ascii="Times New Roman" w:hAnsi="Times New Roman" w:eastAsia="Times New Roman"/>
          <w:b w:val="0"/>
          <w:sz w:val="24"/>
        </w:rPr>
        <w:t>Регламент поиска по теме «Бортовая экспертная система предиктивной диагностики узлов автомобиля» выполнен в полном объёме. В результате поиска обработаны патентные документы, относящиеся к мониторингу технического состояния транспортных средств, обработке телеметрии, анализу диагностических предупреждений, прогнозированию отказов и формированию рекомендаций по техническому обслуживанию.</w:t>
      </w:r>
    </w:p>
    <w:p w14:paraId="120D3B1F">
      <w:pPr>
        <w:spacing w:after="100"/>
        <w:jc w:val="both"/>
      </w:pPr>
      <w:r>
        <w:rPr>
          <w:rFonts w:ascii="Times New Roman" w:hAnsi="Times New Roman" w:eastAsia="Times New Roman"/>
          <w:b w:val="0"/>
          <w:sz w:val="24"/>
        </w:rPr>
        <w:t>Анализ отечественной и зарубежной патентной информации показывает, что направление является развитым и конкурентным. Наиболее близкими решениями являются: бортовой аналитический комплекс для транспортных средств RU 2787310 C1, система диагностики автомобиля на базе машинного обучения Volvo US 11768129 B2, метод предиктивной диагностики We Predict WO 2019185657 A1 и система предиктивного обслуживания автопарков US 11574508 B2.</w:t>
      </w:r>
    </w:p>
    <w:p w14:paraId="56E10B98">
      <w:pPr>
        <w:spacing w:after="100"/>
        <w:jc w:val="both"/>
      </w:pPr>
      <w:r>
        <w:rPr>
          <w:rFonts w:ascii="Times New Roman" w:hAnsi="Times New Roman" w:eastAsia="Times New Roman"/>
          <w:b w:val="0"/>
          <w:sz w:val="24"/>
        </w:rPr>
        <w:t>Главный риск заявляемой темы - слишком широкая формулировка. Простая комбинация «датчики + OBD/CAN + машинное обучение + уведомление о ремонте» уже раскрыта в известных решениях. Чтобы тема была охраноспособной, необходимо сузить её до конкретной технической архитектуры: локальный бортовой экспертный блок, правила интерпретации диагностических симптомов, модель оценки остаточного ресурса отдельных узлов, приоритетное ранжирование неисправностей и механизм выдачи рекомендаций водителю без обязательной передачи данных во внешний центр.</w:t>
      </w:r>
    </w:p>
    <w:p w14:paraId="6FD8D9C4">
      <w:pPr>
        <w:spacing w:after="100"/>
        <w:jc w:val="both"/>
      </w:pPr>
      <w:r>
        <w:rPr>
          <w:rFonts w:ascii="Times New Roman" w:hAnsi="Times New Roman" w:eastAsia="Times New Roman"/>
          <w:b w:val="0"/>
          <w:sz w:val="24"/>
        </w:rPr>
        <w:t>Ожидаемые результаты планируемой разработки: создание бортовой экспертной системы, обеспечивающей сбор телеметрии автомобиля, нормализацию и валидацию данных, выявление аномалий, сопоставление симптомов с базой неисправностей, прогнозирование вероятности отказа узлов и формирование рекомендаций по продолжению эксплуатации, ограничению режима движения либо проведению технического обслуживания.</w:t>
      </w:r>
    </w:p>
    <w:p w14:paraId="49762A16">
      <w:pPr>
        <w:spacing w:after="100"/>
        <w:jc w:val="both"/>
      </w:pPr>
      <w:r>
        <w:rPr>
          <w:rFonts w:ascii="Times New Roman" w:hAnsi="Times New Roman" w:eastAsia="Times New Roman"/>
          <w:b w:val="0"/>
          <w:sz w:val="24"/>
        </w:rPr>
        <w:t>Полных аналогов, полностью совпадающих с заявляемой совокупностью признаков именно бортовой экспертной системы предиктивной диагностики узлов автомобиля, при проведённом поиске не выявлено. При условии конкретизации отличительных признаков тема может обладать новизной и промышленной применимостью. Без такой конкретизации заявка будет уязвима из-за близости к существующим решениям в области телематики, OBD-диагностики и предиктивного технического обслуживания.</w:t>
      </w:r>
    </w:p>
    <w:p w14:paraId="112C2E40">
      <w:pPr>
        <w:spacing w:after="80"/>
        <w:jc w:val="left"/>
      </w:pPr>
      <w:r>
        <w:rPr>
          <w:rFonts w:ascii="Times New Roman" w:hAnsi="Times New Roman" w:eastAsia="Times New Roman"/>
          <w:b/>
          <w:sz w:val="24"/>
        </w:rPr>
        <w:t>Планируемая тема потенциально охраноспособна, однако требует жёсткого выделения отличительных технических признаков.</w:t>
      </w:r>
    </w:p>
    <w:sectPr>
      <w:pgSz w:w="12240" w:h="15840"/>
      <w:pgMar w:top="1134" w:right="96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BA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Maijiin</cp:lastModifiedBy>
  <dcterms:modified xsi:type="dcterms:W3CDTF">2026-05-19T18:50:29Z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3591B34FB99CA189C5860C6A8F3F9EC6_42</vt:lpwstr>
  </property>
</Properties>
</file>