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976F7">
      <w:pPr>
        <w:jc w:val="center"/>
        <w:rPr>
          <w:rFonts w:hint="default"/>
          <w:b/>
          <w:bCs/>
          <w:sz w:val="24"/>
          <w:szCs w:val="24"/>
        </w:rPr>
      </w:pPr>
      <w:r>
        <w:rPr>
          <w:rFonts w:hint="default"/>
          <w:b/>
          <w:bCs/>
          <w:sz w:val="24"/>
          <w:szCs w:val="24"/>
        </w:rPr>
        <w:t>Практическая работа № 5. Вариант № 8</w:t>
      </w:r>
    </w:p>
    <w:p w14:paraId="52438351">
      <w:pPr>
        <w:jc w:val="center"/>
        <w:rPr>
          <w:rFonts w:hint="default"/>
          <w:b/>
          <w:bCs/>
          <w:sz w:val="24"/>
          <w:szCs w:val="24"/>
        </w:rPr>
      </w:pPr>
    </w:p>
    <w:p w14:paraId="39ACC640">
      <w:pPr>
        <w:jc w:val="center"/>
        <w:rPr>
          <w:rFonts w:hint="default"/>
          <w:b/>
          <w:bCs/>
          <w:sz w:val="24"/>
          <w:szCs w:val="24"/>
          <w:lang w:val="ru-RU"/>
        </w:rPr>
      </w:pPr>
      <w:r>
        <w:rPr>
          <w:rFonts w:hint="default"/>
          <w:b/>
          <w:bCs/>
          <w:sz w:val="24"/>
          <w:szCs w:val="24"/>
          <w:lang w:val="ru-RU"/>
        </w:rPr>
        <w:t>Сечейко Н.В., Нагорнова М.Д., Хасанбаев Ш.</w:t>
      </w:r>
      <w:bookmarkStart w:id="0" w:name="_GoBack"/>
      <w:bookmarkEnd w:id="0"/>
    </w:p>
    <w:p w14:paraId="4BA85B5B">
      <w:pPr>
        <w:jc w:val="center"/>
        <w:rPr>
          <w:rFonts w:hint="default"/>
          <w:b/>
          <w:bCs/>
          <w:sz w:val="24"/>
          <w:szCs w:val="24"/>
        </w:rPr>
      </w:pPr>
    </w:p>
    <w:p w14:paraId="64D7C445">
      <w:pPr>
        <w:jc w:val="center"/>
        <w:rPr>
          <w:rFonts w:hint="default"/>
          <w:b/>
          <w:bCs/>
          <w:sz w:val="24"/>
          <w:szCs w:val="24"/>
        </w:rPr>
      </w:pPr>
    </w:p>
    <w:p w14:paraId="73346D02">
      <w:pPr>
        <w:rPr>
          <w:rFonts w:hint="default"/>
          <w:b/>
          <w:bCs/>
          <w:sz w:val="22"/>
          <w:szCs w:val="22"/>
        </w:rPr>
      </w:pPr>
      <w:r>
        <w:rPr>
          <w:rFonts w:hint="default"/>
          <w:b/>
          <w:bCs/>
          <w:sz w:val="22"/>
          <w:szCs w:val="22"/>
        </w:rPr>
        <w:t>Теоретические вопросы</w:t>
      </w:r>
    </w:p>
    <w:p w14:paraId="5788EBCF">
      <w:pPr>
        <w:rPr>
          <w:rFonts w:hint="default"/>
          <w:sz w:val="22"/>
          <w:szCs w:val="22"/>
        </w:rPr>
      </w:pPr>
    </w:p>
    <w:p w14:paraId="2C68F611">
      <w:pPr>
        <w:rPr>
          <w:rFonts w:hint="default"/>
          <w:b/>
          <w:bCs/>
          <w:sz w:val="22"/>
          <w:szCs w:val="22"/>
        </w:rPr>
      </w:pPr>
      <w:r>
        <w:rPr>
          <w:rFonts w:hint="default"/>
          <w:b/>
          <w:bCs/>
          <w:sz w:val="22"/>
          <w:szCs w:val="22"/>
        </w:rPr>
        <w:t xml:space="preserve">Вопрос 8. Какой товарный знак считается коллективным? Процедура регистрации коллективного товарного знака и совместные права на товарный знак. </w:t>
      </w:r>
    </w:p>
    <w:p w14:paraId="53C1D614">
      <w:pPr>
        <w:rPr>
          <w:rFonts w:hint="default"/>
          <w:sz w:val="22"/>
          <w:szCs w:val="22"/>
        </w:rPr>
      </w:pPr>
    </w:p>
    <w:p w14:paraId="79E7FD6E">
      <w:pPr>
        <w:rPr>
          <w:rFonts w:hint="default"/>
          <w:sz w:val="22"/>
          <w:szCs w:val="22"/>
        </w:rPr>
      </w:pPr>
      <w:r>
        <w:rPr>
          <w:rFonts w:hint="default"/>
          <w:sz w:val="22"/>
          <w:szCs w:val="22"/>
        </w:rPr>
        <w:t xml:space="preserve">Понятие: Коллективный товарный знак — это товарный знак, предназначенный для индивидуализации товаров, производимых и (или) реализуемых участниками добровольного объединения (союза, ассоциации, иного некоммерческого объединения). Такой знак маркирует товары, обладающие едиными качественными или иными общими характеристиками. </w:t>
      </w:r>
    </w:p>
    <w:p w14:paraId="4F5F7372">
      <w:pPr>
        <w:rPr>
          <w:rFonts w:hint="default"/>
          <w:sz w:val="22"/>
          <w:szCs w:val="22"/>
        </w:rPr>
      </w:pPr>
    </w:p>
    <w:p w14:paraId="5E93F299">
      <w:pPr>
        <w:rPr>
          <w:rFonts w:hint="default"/>
          <w:sz w:val="22"/>
          <w:szCs w:val="22"/>
        </w:rPr>
      </w:pPr>
      <w:r>
        <w:rPr>
          <w:rFonts w:hint="default"/>
          <w:sz w:val="22"/>
          <w:szCs w:val="22"/>
        </w:rPr>
        <w:t xml:space="preserve">Процедура регистрации: </w:t>
      </w:r>
    </w:p>
    <w:p w14:paraId="53FBB2CF">
      <w:pPr>
        <w:numPr>
          <w:ilvl w:val="0"/>
          <w:numId w:val="1"/>
        </w:numPr>
        <w:ind w:left="425" w:leftChars="0" w:hanging="425" w:firstLineChars="0"/>
        <w:rPr>
          <w:rFonts w:hint="default"/>
          <w:sz w:val="22"/>
          <w:szCs w:val="22"/>
        </w:rPr>
      </w:pPr>
      <w:r>
        <w:rPr>
          <w:rFonts w:hint="default"/>
          <w:sz w:val="22"/>
          <w:szCs w:val="22"/>
        </w:rPr>
        <w:t xml:space="preserve">Подача заявки: Заявка подается в Национальный центр интеллектуальной собственности (НЦИС) от имени объединения (юридического лица). </w:t>
      </w:r>
    </w:p>
    <w:p w14:paraId="206933D6">
      <w:pPr>
        <w:numPr>
          <w:ilvl w:val="0"/>
          <w:numId w:val="1"/>
        </w:numPr>
        <w:ind w:left="425" w:leftChars="0" w:hanging="425" w:firstLineChars="0"/>
        <w:rPr>
          <w:rFonts w:hint="default"/>
          <w:sz w:val="22"/>
          <w:szCs w:val="22"/>
        </w:rPr>
      </w:pPr>
      <w:r>
        <w:rPr>
          <w:rFonts w:hint="default"/>
          <w:sz w:val="22"/>
          <w:szCs w:val="22"/>
        </w:rPr>
        <w:t>Особые документы: К заявке в обязательном порядке прилагается Устав коллективного знака. Он должен содержать перечень лиц, имеющих право использовать знак , цель регистрации , единые характеристики качества товаров , условия использования знака и порядок контроля за его использованием.</w:t>
      </w:r>
    </w:p>
    <w:p w14:paraId="0A897B76">
      <w:pPr>
        <w:numPr>
          <w:ilvl w:val="0"/>
          <w:numId w:val="1"/>
        </w:numPr>
        <w:ind w:left="425" w:leftChars="0" w:hanging="425" w:firstLineChars="0"/>
        <w:rPr>
          <w:rFonts w:hint="default"/>
          <w:sz w:val="22"/>
          <w:szCs w:val="22"/>
        </w:rPr>
      </w:pPr>
      <w:r>
        <w:rPr>
          <w:rFonts w:hint="default"/>
          <w:sz w:val="22"/>
          <w:szCs w:val="22"/>
        </w:rPr>
        <w:t xml:space="preserve">Экспертиза и регистрация: Как и обычный знак, коллективный проходит формальную экспертизу и экспертизу по существу. Регистрация осуществляется на имя объединения с внесением в специальный Реестр коллективных знаков. </w:t>
      </w:r>
    </w:p>
    <w:p w14:paraId="55078C11">
      <w:pPr>
        <w:rPr>
          <w:rFonts w:hint="default"/>
          <w:sz w:val="22"/>
          <w:szCs w:val="22"/>
        </w:rPr>
      </w:pPr>
    </w:p>
    <w:p w14:paraId="70015F76">
      <w:pPr>
        <w:rPr>
          <w:rFonts w:hint="default"/>
          <w:sz w:val="22"/>
          <w:szCs w:val="22"/>
        </w:rPr>
      </w:pPr>
      <w:r>
        <w:rPr>
          <w:rFonts w:hint="default"/>
          <w:sz w:val="22"/>
          <w:szCs w:val="22"/>
        </w:rPr>
        <w:t xml:space="preserve">Совместные права: </w:t>
      </w:r>
    </w:p>
    <w:p w14:paraId="006AE698">
      <w:pPr>
        <w:numPr>
          <w:ilvl w:val="0"/>
          <w:numId w:val="2"/>
        </w:numPr>
        <w:ind w:left="425" w:leftChars="0" w:hanging="425" w:firstLineChars="0"/>
        <w:rPr>
          <w:rFonts w:hint="default"/>
          <w:sz w:val="22"/>
          <w:szCs w:val="22"/>
        </w:rPr>
      </w:pPr>
      <w:r>
        <w:rPr>
          <w:rFonts w:hint="default"/>
          <w:sz w:val="22"/>
          <w:szCs w:val="22"/>
        </w:rPr>
        <w:t xml:space="preserve">Право на использование знака принадлежит каждому члену объединения, если иное не предусмотрено уставом. </w:t>
      </w:r>
    </w:p>
    <w:p w14:paraId="34F6513C">
      <w:pPr>
        <w:numPr>
          <w:ilvl w:val="0"/>
          <w:numId w:val="2"/>
        </w:numPr>
        <w:ind w:left="425" w:leftChars="0" w:hanging="425" w:firstLineChars="0"/>
        <w:rPr>
          <w:rFonts w:hint="default"/>
          <w:sz w:val="22"/>
          <w:szCs w:val="22"/>
        </w:rPr>
      </w:pPr>
      <w:r>
        <w:rPr>
          <w:rFonts w:hint="default"/>
          <w:sz w:val="22"/>
          <w:szCs w:val="22"/>
        </w:rPr>
        <w:t xml:space="preserve">Участники не могут распоряжаться правом на знак (продавать лицензии или уступать права) отдельно от права на членство. </w:t>
      </w:r>
    </w:p>
    <w:p w14:paraId="0160069E">
      <w:pPr>
        <w:numPr>
          <w:ilvl w:val="0"/>
          <w:numId w:val="2"/>
        </w:numPr>
        <w:ind w:left="425" w:leftChars="0" w:hanging="425" w:firstLineChars="0"/>
        <w:rPr>
          <w:rFonts w:hint="default"/>
          <w:sz w:val="22"/>
          <w:szCs w:val="22"/>
        </w:rPr>
      </w:pPr>
      <w:r>
        <w:rPr>
          <w:rFonts w:hint="default"/>
          <w:sz w:val="22"/>
          <w:szCs w:val="22"/>
        </w:rPr>
        <w:t xml:space="preserve">Передача права возможна только при передаче всего предприятия (правопреемстве). При выходе участника из объединения право пользования знаком у него прекращается. </w:t>
      </w:r>
    </w:p>
    <w:p w14:paraId="1D677296">
      <w:pPr>
        <w:rPr>
          <w:rFonts w:hint="default"/>
          <w:sz w:val="22"/>
          <w:szCs w:val="22"/>
        </w:rPr>
      </w:pPr>
    </w:p>
    <w:p w14:paraId="582272A4">
      <w:pPr>
        <w:rPr>
          <w:rFonts w:hint="default"/>
          <w:b/>
          <w:bCs/>
          <w:sz w:val="22"/>
          <w:szCs w:val="22"/>
        </w:rPr>
      </w:pPr>
      <w:r>
        <w:rPr>
          <w:rFonts w:hint="default"/>
          <w:b/>
          <w:bCs/>
          <w:sz w:val="22"/>
          <w:szCs w:val="22"/>
        </w:rPr>
        <w:t xml:space="preserve">Вопрос 11. Нарушаются ли права владельца товарного знака при приобретении по договору поставки товара, обозначенного охраняемым в Республике Беларусь товарным знаком, у поставщика, не обладающего правом на использование данного товарного знака? </w:t>
      </w:r>
    </w:p>
    <w:p w14:paraId="2C84733A">
      <w:pPr>
        <w:rPr>
          <w:rFonts w:hint="default"/>
          <w:sz w:val="22"/>
          <w:szCs w:val="22"/>
        </w:rPr>
      </w:pPr>
    </w:p>
    <w:p w14:paraId="385B828C">
      <w:pPr>
        <w:rPr>
          <w:rFonts w:hint="default"/>
          <w:sz w:val="22"/>
          <w:szCs w:val="22"/>
        </w:rPr>
      </w:pPr>
      <w:r>
        <w:rPr>
          <w:rFonts w:hint="default"/>
          <w:sz w:val="22"/>
          <w:szCs w:val="22"/>
        </w:rPr>
        <w:t xml:space="preserve">Да, права владельца товарного знака в данном случае нарушаются. </w:t>
      </w:r>
    </w:p>
    <w:p w14:paraId="037BF770">
      <w:pPr>
        <w:rPr>
          <w:rFonts w:hint="default"/>
          <w:sz w:val="22"/>
          <w:szCs w:val="22"/>
        </w:rPr>
      </w:pPr>
    </w:p>
    <w:p w14:paraId="45645125">
      <w:pPr>
        <w:numPr>
          <w:ilvl w:val="0"/>
          <w:numId w:val="3"/>
        </w:numPr>
        <w:ind w:left="420" w:leftChars="0" w:hanging="420" w:firstLineChars="0"/>
        <w:rPr>
          <w:rFonts w:hint="default"/>
          <w:sz w:val="22"/>
          <w:szCs w:val="22"/>
        </w:rPr>
      </w:pPr>
      <w:r>
        <w:rPr>
          <w:rFonts w:hint="default"/>
          <w:sz w:val="22"/>
          <w:szCs w:val="22"/>
        </w:rPr>
        <w:t xml:space="preserve">Обоснование: В Республике Беларусь действует принцип исчерпания прав (ст. 1031 Гражданского кодекса РБ). Исключительное право считается исчерпанным только если товар был введен в оборот на территории ЕАЭС самим правообладателем или с его прямого согласия (например, по лицензии). </w:t>
      </w:r>
    </w:p>
    <w:p w14:paraId="4B7CB9C4">
      <w:pPr>
        <w:numPr>
          <w:ilvl w:val="0"/>
          <w:numId w:val="3"/>
        </w:numPr>
        <w:ind w:left="420" w:leftChars="0" w:hanging="420" w:firstLineChars="0"/>
        <w:rPr>
          <w:rFonts w:hint="default"/>
          <w:sz w:val="22"/>
          <w:szCs w:val="22"/>
        </w:rPr>
      </w:pPr>
      <w:r>
        <w:rPr>
          <w:rFonts w:hint="default"/>
          <w:sz w:val="22"/>
          <w:szCs w:val="22"/>
        </w:rPr>
        <w:t xml:space="preserve">Суть нарушения: Если у поставщика нет прав, он не получал разрешения от владельца на ввод товара в оборот. Для владельца знака такая сделка признается нарушением исключительного права (контрафакцией). </w:t>
      </w:r>
    </w:p>
    <w:p w14:paraId="245D51C4">
      <w:pPr>
        <w:numPr>
          <w:ilvl w:val="0"/>
          <w:numId w:val="3"/>
        </w:numPr>
        <w:ind w:left="420" w:leftChars="0" w:hanging="420" w:firstLineChars="0"/>
        <w:rPr>
          <w:rFonts w:hint="default"/>
          <w:sz w:val="22"/>
          <w:szCs w:val="22"/>
        </w:rPr>
      </w:pPr>
      <w:r>
        <w:rPr>
          <w:rFonts w:hint="default"/>
          <w:sz w:val="22"/>
          <w:szCs w:val="22"/>
        </w:rPr>
        <w:t xml:space="preserve">Последствия для покупателя: Для лица, приобретшего товар, это расценивается как ввод контрафактного товара в гражданский оборот РБ. Даже действуя добросовестно, покупатель несет риски: товар может быть изъят по иску владельца, а самого покупателя могут привлечь к ответственности (например, при дальнейшей перепродаже или рекламе). </w:t>
      </w:r>
    </w:p>
    <w:p w14:paraId="5E038941">
      <w:pPr>
        <w:jc w:val="center"/>
        <w:rPr>
          <w:rFonts w:hint="default"/>
          <w:b/>
          <w:bCs/>
          <w:sz w:val="22"/>
          <w:szCs w:val="22"/>
        </w:rPr>
      </w:pPr>
      <w:r>
        <w:rPr>
          <w:rFonts w:hint="default"/>
          <w:b/>
          <w:bCs/>
          <w:sz w:val="22"/>
          <w:szCs w:val="22"/>
        </w:rPr>
        <w:t>Практическая часть (Решение задач)</w:t>
      </w:r>
    </w:p>
    <w:p w14:paraId="5344097A">
      <w:pPr>
        <w:rPr>
          <w:rFonts w:hint="default"/>
          <w:b/>
          <w:bCs/>
          <w:sz w:val="22"/>
          <w:szCs w:val="22"/>
        </w:rPr>
      </w:pPr>
      <w:r>
        <w:rPr>
          <w:rFonts w:hint="default"/>
          <w:b/>
          <w:bCs/>
          <w:sz w:val="22"/>
          <w:szCs w:val="22"/>
        </w:rPr>
        <w:t>Задача № 1 (Вопрос 2)</w:t>
      </w:r>
    </w:p>
    <w:p w14:paraId="0BED4691">
      <w:pPr>
        <w:rPr>
          <w:rFonts w:hint="default"/>
          <w:b/>
          <w:bCs/>
          <w:sz w:val="22"/>
          <w:szCs w:val="22"/>
        </w:rPr>
      </w:pPr>
    </w:p>
    <w:p w14:paraId="79BDDDEB">
      <w:pPr>
        <w:rPr>
          <w:rFonts w:hint="default"/>
          <w:b/>
          <w:bCs/>
          <w:sz w:val="22"/>
          <w:szCs w:val="22"/>
        </w:rPr>
      </w:pPr>
      <w:r>
        <w:rPr>
          <w:rFonts w:hint="default"/>
          <w:b/>
          <w:bCs/>
          <w:sz w:val="22"/>
          <w:szCs w:val="22"/>
        </w:rPr>
        <w:t xml:space="preserve">Условие: Сайт А и сайт Б выложили легальные шумоподобные файлы. Субъект Г заявляет, что результат их наложения (XOR) — нелегальный контент. Который из файлов потребуют убрать с сайта и на каком основании? </w:t>
      </w:r>
    </w:p>
    <w:p w14:paraId="388A0271">
      <w:pPr>
        <w:rPr>
          <w:rFonts w:hint="default"/>
          <w:sz w:val="22"/>
          <w:szCs w:val="22"/>
        </w:rPr>
      </w:pPr>
    </w:p>
    <w:p w14:paraId="58B222D9">
      <w:pPr>
        <w:rPr>
          <w:rFonts w:hint="default"/>
          <w:sz w:val="22"/>
          <w:szCs w:val="22"/>
        </w:rPr>
      </w:pPr>
      <w:r>
        <w:rPr>
          <w:rFonts w:hint="default"/>
          <w:sz w:val="22"/>
          <w:szCs w:val="22"/>
        </w:rPr>
        <w:t xml:space="preserve">Ответ: Потребуют убрать оба файла (возможно, одновременно, или по усмотрению истца при доказательстве «заговора»), либо тот, который был создан позже. </w:t>
      </w:r>
    </w:p>
    <w:p w14:paraId="45FA6510">
      <w:pPr>
        <w:rPr>
          <w:rFonts w:hint="default"/>
          <w:sz w:val="22"/>
          <w:szCs w:val="22"/>
        </w:rPr>
      </w:pPr>
    </w:p>
    <w:p w14:paraId="3E6E6661">
      <w:pPr>
        <w:rPr>
          <w:rFonts w:hint="default"/>
          <w:sz w:val="22"/>
          <w:szCs w:val="22"/>
        </w:rPr>
      </w:pPr>
      <w:r>
        <w:rPr>
          <w:rFonts w:hint="default"/>
          <w:sz w:val="22"/>
          <w:szCs w:val="22"/>
        </w:rPr>
        <w:t xml:space="preserve">Обоснование: </w:t>
      </w:r>
    </w:p>
    <w:p w14:paraId="57D66288">
      <w:pPr>
        <w:numPr>
          <w:ilvl w:val="0"/>
          <w:numId w:val="4"/>
        </w:numPr>
        <w:ind w:left="425" w:leftChars="0" w:hanging="425" w:firstLineChars="0"/>
        <w:rPr>
          <w:rFonts w:hint="default"/>
          <w:sz w:val="22"/>
          <w:szCs w:val="22"/>
        </w:rPr>
      </w:pPr>
      <w:r>
        <w:rPr>
          <w:rFonts w:hint="default"/>
          <w:sz w:val="22"/>
          <w:szCs w:val="22"/>
        </w:rPr>
        <w:t>Исключение симметричности: Гражданское законодательство РБ защищает правообладателя от косвенного нарушения. Схема «ключ + шифр» не делает файл-ключ легальным, если его единственная цель — дешифровка пиратского контента.</w:t>
      </w:r>
    </w:p>
    <w:p w14:paraId="771B5FAE">
      <w:pPr>
        <w:numPr>
          <w:ilvl w:val="0"/>
          <w:numId w:val="4"/>
        </w:numPr>
        <w:ind w:left="425" w:leftChars="0" w:hanging="425" w:firstLineChars="0"/>
        <w:rPr>
          <w:rFonts w:hint="default"/>
          <w:sz w:val="22"/>
          <w:szCs w:val="22"/>
        </w:rPr>
      </w:pPr>
      <w:r>
        <w:rPr>
          <w:rFonts w:hint="default"/>
          <w:sz w:val="22"/>
          <w:szCs w:val="22"/>
        </w:rPr>
        <w:t xml:space="preserve">Юридическая фикция: Суд применит принцип «вероятности». Если XOR двух файлов выдает, например, Windows, то для суда они являются частями единого контрафактного целого. Тот факт, что по отдельности они представляют собой «белый шум», значения иметь не будет. </w:t>
      </w:r>
    </w:p>
    <w:p w14:paraId="378420D9">
      <w:pPr>
        <w:numPr>
          <w:ilvl w:val="0"/>
          <w:numId w:val="4"/>
        </w:numPr>
        <w:ind w:left="425" w:leftChars="0" w:hanging="425" w:firstLineChars="0"/>
        <w:rPr>
          <w:rFonts w:hint="default"/>
          <w:sz w:val="22"/>
          <w:szCs w:val="22"/>
        </w:rPr>
      </w:pPr>
      <w:r>
        <w:rPr>
          <w:rFonts w:hint="default"/>
          <w:sz w:val="22"/>
          <w:szCs w:val="22"/>
        </w:rPr>
        <w:t xml:space="preserve">Презумпция виновности нарушителя: Владельцу сайта Б укажут, что его файл является «ключом» к чужим авторским правам. Ни один суд не позволит хранить «универсальный ключ» к ПО под прикрытием математической случайности. </w:t>
      </w:r>
    </w:p>
    <w:p w14:paraId="704908CB">
      <w:pPr>
        <w:rPr>
          <w:rFonts w:hint="default"/>
          <w:sz w:val="22"/>
          <w:szCs w:val="22"/>
        </w:rPr>
      </w:pPr>
    </w:p>
    <w:p w14:paraId="1CE57F1F">
      <w:pPr>
        <w:rPr>
          <w:rFonts w:hint="default"/>
          <w:sz w:val="22"/>
          <w:szCs w:val="22"/>
        </w:rPr>
      </w:pPr>
      <w:r>
        <w:rPr>
          <w:rFonts w:hint="default"/>
          <w:sz w:val="22"/>
          <w:szCs w:val="22"/>
        </w:rPr>
        <w:t xml:space="preserve">Вывод: Владельца сайта признают нарушителем, если он знал или мог знать о способе использования его файла. Хранение декриптора запрещено. </w:t>
      </w:r>
    </w:p>
    <w:p w14:paraId="593E438B">
      <w:pPr>
        <w:rPr>
          <w:rFonts w:hint="default"/>
          <w:sz w:val="22"/>
          <w:szCs w:val="22"/>
        </w:rPr>
      </w:pPr>
    </w:p>
    <w:p w14:paraId="2CC5DA4B">
      <w:pPr>
        <w:rPr>
          <w:rFonts w:hint="default"/>
          <w:b/>
          <w:bCs/>
          <w:sz w:val="22"/>
          <w:szCs w:val="22"/>
        </w:rPr>
      </w:pPr>
      <w:r>
        <w:rPr>
          <w:rFonts w:hint="default"/>
          <w:b/>
          <w:bCs/>
          <w:sz w:val="22"/>
          <w:szCs w:val="22"/>
        </w:rPr>
        <w:t>Задача № 4 (Вопросы 1 и 3)</w:t>
      </w:r>
    </w:p>
    <w:p w14:paraId="6BF0A36B">
      <w:pPr>
        <w:rPr>
          <w:rFonts w:hint="default"/>
          <w:sz w:val="22"/>
          <w:szCs w:val="22"/>
        </w:rPr>
      </w:pPr>
    </w:p>
    <w:p w14:paraId="37D501E9">
      <w:pPr>
        <w:rPr>
          <w:rFonts w:hint="default"/>
          <w:b/>
          <w:bCs/>
          <w:sz w:val="22"/>
          <w:szCs w:val="22"/>
        </w:rPr>
      </w:pPr>
      <w:r>
        <w:rPr>
          <w:rFonts w:hint="default"/>
          <w:b/>
          <w:bCs/>
          <w:sz w:val="22"/>
          <w:szCs w:val="22"/>
        </w:rPr>
        <w:t xml:space="preserve">Условие: Поставлен водевиль по пьесе иностранного автора. Перевод — Иванов. Поэты Семенов и Попов написали стихи, композитор Пухов — музыку. Поэты требуют признать их соавторами спектакля и часть гонорара Иванова. Рогов требует признать себя соавтором перевода (перевел 1 акт, который не использовался). Экспертиза установила, что спектакль идет полностью по переводу Иванова. </w:t>
      </w:r>
    </w:p>
    <w:p w14:paraId="1D2D9B08">
      <w:pPr>
        <w:rPr>
          <w:rFonts w:hint="default"/>
          <w:sz w:val="22"/>
          <w:szCs w:val="22"/>
        </w:rPr>
      </w:pPr>
    </w:p>
    <w:p w14:paraId="385636F5">
      <w:pPr>
        <w:rPr>
          <w:rFonts w:hint="default"/>
          <w:b/>
          <w:bCs/>
          <w:sz w:val="22"/>
          <w:szCs w:val="22"/>
        </w:rPr>
      </w:pPr>
      <w:r>
        <w:rPr>
          <w:rFonts w:hint="default"/>
          <w:b/>
          <w:bCs/>
          <w:sz w:val="22"/>
          <w:szCs w:val="22"/>
        </w:rPr>
        <w:t xml:space="preserve">Вопрос 1: Кого закон признает соавтором? </w:t>
      </w:r>
    </w:p>
    <w:p w14:paraId="034AAEA6">
      <w:pPr>
        <w:rPr>
          <w:rFonts w:hint="default"/>
          <w:sz w:val="22"/>
          <w:szCs w:val="22"/>
        </w:rPr>
      </w:pPr>
    </w:p>
    <w:p w14:paraId="1B029B2D">
      <w:pPr>
        <w:rPr>
          <w:rFonts w:hint="default"/>
          <w:sz w:val="22"/>
          <w:szCs w:val="22"/>
        </w:rPr>
      </w:pPr>
      <w:r>
        <w:rPr>
          <w:rFonts w:hint="default"/>
          <w:sz w:val="22"/>
          <w:szCs w:val="22"/>
        </w:rPr>
        <w:t xml:space="preserve">Ответ: Соавторами музыкальной части спектакля (песен) признаются Семенов, Попов и Пухов. Иванов признается единоличным автором перевода текста пьесы. </w:t>
      </w:r>
    </w:p>
    <w:p w14:paraId="145C2DE1">
      <w:pPr>
        <w:rPr>
          <w:rFonts w:hint="default"/>
          <w:sz w:val="22"/>
          <w:szCs w:val="22"/>
        </w:rPr>
      </w:pPr>
    </w:p>
    <w:p w14:paraId="19552BF3">
      <w:pPr>
        <w:rPr>
          <w:rFonts w:hint="default"/>
          <w:sz w:val="22"/>
          <w:szCs w:val="22"/>
        </w:rPr>
      </w:pPr>
      <w:r>
        <w:rPr>
          <w:rFonts w:hint="default"/>
          <w:sz w:val="22"/>
          <w:szCs w:val="22"/>
        </w:rPr>
        <w:t xml:space="preserve">Поэты написали стихи для песен, ставших частью либретто — это новый объект. Они соавторы песни, но не соавторы перевода диалогов. </w:t>
      </w:r>
    </w:p>
    <w:p w14:paraId="69FA60EF">
      <w:pPr>
        <w:rPr>
          <w:rFonts w:hint="default"/>
          <w:sz w:val="22"/>
          <w:szCs w:val="22"/>
        </w:rPr>
      </w:pPr>
    </w:p>
    <w:p w14:paraId="7A4728F0">
      <w:pPr>
        <w:rPr>
          <w:rFonts w:hint="default"/>
          <w:sz w:val="22"/>
          <w:szCs w:val="22"/>
        </w:rPr>
      </w:pPr>
      <w:r>
        <w:rPr>
          <w:rFonts w:hint="default"/>
          <w:sz w:val="22"/>
          <w:szCs w:val="22"/>
        </w:rPr>
        <w:t xml:space="preserve">Рогов не признается соавтором, так как соавторство подразумевает совместный труд. Его перевод первого акта театром не использовался , а отсутствие результата не порождает прав на постановку. </w:t>
      </w:r>
    </w:p>
    <w:p w14:paraId="57134E33">
      <w:pPr>
        <w:rPr>
          <w:rFonts w:hint="default"/>
          <w:sz w:val="22"/>
          <w:szCs w:val="22"/>
        </w:rPr>
      </w:pPr>
    </w:p>
    <w:p w14:paraId="2C9B3510">
      <w:pPr>
        <w:rPr>
          <w:rFonts w:hint="default"/>
          <w:sz w:val="22"/>
          <w:szCs w:val="22"/>
        </w:rPr>
      </w:pPr>
    </w:p>
    <w:p w14:paraId="28474B6E">
      <w:pPr>
        <w:rPr>
          <w:rFonts w:hint="default"/>
          <w:sz w:val="22"/>
          <w:szCs w:val="22"/>
        </w:rPr>
      </w:pPr>
    </w:p>
    <w:p w14:paraId="04C33081">
      <w:pPr>
        <w:rPr>
          <w:rFonts w:hint="default"/>
          <w:sz w:val="22"/>
          <w:szCs w:val="22"/>
        </w:rPr>
      </w:pPr>
    </w:p>
    <w:p w14:paraId="1C068B05">
      <w:pPr>
        <w:rPr>
          <w:rFonts w:hint="default"/>
          <w:sz w:val="22"/>
          <w:szCs w:val="22"/>
        </w:rPr>
      </w:pPr>
    </w:p>
    <w:p w14:paraId="5A896290">
      <w:pPr>
        <w:rPr>
          <w:rFonts w:hint="default"/>
          <w:sz w:val="22"/>
          <w:szCs w:val="22"/>
        </w:rPr>
      </w:pPr>
    </w:p>
    <w:p w14:paraId="12859BA4">
      <w:pPr>
        <w:rPr>
          <w:rFonts w:hint="default"/>
          <w:sz w:val="22"/>
          <w:szCs w:val="22"/>
        </w:rPr>
      </w:pPr>
    </w:p>
    <w:p w14:paraId="321DB22A">
      <w:pPr>
        <w:rPr>
          <w:rFonts w:hint="default"/>
          <w:b/>
          <w:bCs/>
          <w:sz w:val="22"/>
          <w:szCs w:val="22"/>
        </w:rPr>
      </w:pPr>
      <w:r>
        <w:rPr>
          <w:rFonts w:hint="default"/>
          <w:b/>
          <w:bCs/>
          <w:sz w:val="22"/>
          <w:szCs w:val="22"/>
        </w:rPr>
        <w:t xml:space="preserve">Вопрос 3: Как может быть разрешен спор? </w:t>
      </w:r>
    </w:p>
    <w:p w14:paraId="3D4B9B06">
      <w:pPr>
        <w:rPr>
          <w:rFonts w:hint="default"/>
          <w:b/>
          <w:bCs/>
          <w:sz w:val="22"/>
          <w:szCs w:val="22"/>
        </w:rPr>
      </w:pPr>
    </w:p>
    <w:p w14:paraId="630689CA">
      <w:pPr>
        <w:rPr>
          <w:rFonts w:hint="default"/>
          <w:sz w:val="22"/>
          <w:szCs w:val="22"/>
        </w:rPr>
      </w:pPr>
      <w:r>
        <w:rPr>
          <w:rFonts w:hint="default"/>
          <w:sz w:val="22"/>
          <w:szCs w:val="22"/>
        </w:rPr>
        <w:t>Ответ: Вероятное решение суда:</w:t>
      </w:r>
    </w:p>
    <w:p w14:paraId="1D5E67EC">
      <w:pPr>
        <w:numPr>
          <w:ilvl w:val="0"/>
          <w:numId w:val="5"/>
        </w:numPr>
        <w:ind w:left="425" w:leftChars="0" w:hanging="425" w:firstLineChars="0"/>
        <w:rPr>
          <w:rFonts w:hint="default"/>
          <w:sz w:val="22"/>
          <w:szCs w:val="22"/>
        </w:rPr>
      </w:pPr>
      <w:r>
        <w:rPr>
          <w:rFonts w:hint="default"/>
          <w:sz w:val="22"/>
          <w:szCs w:val="22"/>
        </w:rPr>
        <w:t>Иск поэтов к Иванову: В удовлетворении отказать. Гонорар переводчика выплачивается за текст, а поэты уже получили свой гонорар за стихи от театра. Право на текст (Иванов) и право на песни (Поэты и Пухов) — это разные объекты.</w:t>
      </w:r>
    </w:p>
    <w:p w14:paraId="0B8E9B35">
      <w:pPr>
        <w:numPr>
          <w:ilvl w:val="0"/>
          <w:numId w:val="5"/>
        </w:numPr>
        <w:ind w:left="425" w:leftChars="0" w:hanging="425" w:firstLineChars="0"/>
        <w:rPr>
          <w:rFonts w:hint="default"/>
          <w:sz w:val="22"/>
          <w:szCs w:val="22"/>
        </w:rPr>
      </w:pPr>
      <w:r>
        <w:rPr>
          <w:rFonts w:hint="default"/>
          <w:sz w:val="22"/>
          <w:szCs w:val="22"/>
        </w:rPr>
        <w:t xml:space="preserve">Иск Рогова к Иванову: В удовлетворении отказать. Доказательств совместной работы нет, текст Рогова в спектакле не использовался. Рогов может претендовать на авторство своего перевода как самостоятельного произведения, но не на данную постановку. </w:t>
      </w:r>
    </w:p>
    <w:p w14:paraId="256680A8">
      <w:pPr>
        <w:rPr>
          <w:rFonts w:hint="default"/>
          <w:sz w:val="22"/>
          <w:szCs w:val="22"/>
        </w:rPr>
      </w:pPr>
    </w:p>
    <w:p w14:paraId="2FFABBE2">
      <w:pPr>
        <w:rPr>
          <w:rFonts w:hint="default"/>
          <w:sz w:val="22"/>
          <w:szCs w:val="22"/>
        </w:rPr>
      </w:pPr>
      <w:r>
        <w:rPr>
          <w:rFonts w:hint="default"/>
          <w:sz w:val="22"/>
          <w:szCs w:val="22"/>
        </w:rPr>
        <w:t>Итог: Иванов остается единственным автором перевода основы спектакля. Поэты и композитор — авторы музыкальных номеров и имеют право на отчисления за исполнение именно песен.</w:t>
      </w:r>
    </w:p>
    <w:p w14:paraId="5220F621">
      <w:pPr>
        <w:rPr>
          <w:rFonts w:hint="default"/>
          <w:sz w:val="22"/>
          <w:szCs w:val="22"/>
        </w:rPr>
      </w:pPr>
    </w:p>
    <w:p w14:paraId="116AC866">
      <w:pPr>
        <w:rPr>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41A41"/>
    <w:multiLevelType w:val="singleLevel"/>
    <w:tmpl w:val="87341A41"/>
    <w:lvl w:ilvl="0" w:tentative="0">
      <w:start w:val="1"/>
      <w:numFmt w:val="decimal"/>
      <w:lvlText w:val="%1."/>
      <w:lvlJc w:val="left"/>
      <w:pPr>
        <w:tabs>
          <w:tab w:val="left" w:pos="425"/>
        </w:tabs>
        <w:ind w:left="425" w:leftChars="0" w:hanging="425" w:firstLineChars="0"/>
      </w:pPr>
      <w:rPr>
        <w:rFonts w:hint="default"/>
      </w:rPr>
    </w:lvl>
  </w:abstractNum>
  <w:abstractNum w:abstractNumId="1">
    <w:nsid w:val="E7D5B30F"/>
    <w:multiLevelType w:val="singleLevel"/>
    <w:tmpl w:val="E7D5B3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DF7B91A"/>
    <w:multiLevelType w:val="singleLevel"/>
    <w:tmpl w:val="1DF7B91A"/>
    <w:lvl w:ilvl="0" w:tentative="0">
      <w:start w:val="1"/>
      <w:numFmt w:val="decimal"/>
      <w:lvlText w:val="%1."/>
      <w:lvlJc w:val="left"/>
      <w:pPr>
        <w:tabs>
          <w:tab w:val="left" w:pos="425"/>
        </w:tabs>
        <w:ind w:left="425" w:leftChars="0" w:hanging="425" w:firstLineChars="0"/>
      </w:pPr>
      <w:rPr>
        <w:rFonts w:hint="default"/>
      </w:rPr>
    </w:lvl>
  </w:abstractNum>
  <w:abstractNum w:abstractNumId="3">
    <w:nsid w:val="254DA77C"/>
    <w:multiLevelType w:val="singleLevel"/>
    <w:tmpl w:val="254DA77C"/>
    <w:lvl w:ilvl="0" w:tentative="0">
      <w:start w:val="1"/>
      <w:numFmt w:val="decimal"/>
      <w:lvlText w:val="%1."/>
      <w:lvlJc w:val="left"/>
      <w:pPr>
        <w:tabs>
          <w:tab w:val="left" w:pos="425"/>
        </w:tabs>
        <w:ind w:left="425" w:leftChars="0" w:hanging="425" w:firstLineChars="0"/>
      </w:pPr>
      <w:rPr>
        <w:rFonts w:hint="default"/>
      </w:rPr>
    </w:lvl>
  </w:abstractNum>
  <w:abstractNum w:abstractNumId="4">
    <w:nsid w:val="6A178BF2"/>
    <w:multiLevelType w:val="singleLevel"/>
    <w:tmpl w:val="6A178BF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5748C"/>
    <w:rsid w:val="6665748C"/>
    <w:rsid w:val="DDF7091F"/>
    <w:rsid w:val="E7AE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2026-05-19T17:50:00Z</dcterms:created>
  <dc:creator>Паша</dc:creator>
  <cp:lastModifiedBy>Maijiin</cp:lastModifiedBy>
  <dcterms:modified xsi:type="dcterms:W3CDTF">2026-05-20T16:05:51Z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F9DC9C7B71CD413A88C50E9A7C6D2FB2_11</vt:lpwstr>
  </property>
  <property fmtid="{D5CDD505-2E9C-101B-9397-08002B2CF9AE}" pid="4" name="KSOTemplateDocerSaveRecord">
    <vt:lpwstr>eyJoZGlkIjoiMzU3OGU0NWNhNGU4ZTU2ZjMxY2NhYWM3YjgyOTI2N2YiLCJ1c2VySWQiOiI3NTU5MTQ0MDY3MTIwIn0=</vt:lpwstr>
  </property>
</Properties>
</file>