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 w:before="0"/>
        <w:jc w:val="center"/>
      </w:pPr>
      <w:r>
        <w:rPr>
          <w:rFonts w:ascii="Times New Roman" w:hAnsi="Times New Roman" w:cs="Times New Roman"/>
          <w:color w:val="000000"/>
          <w:sz w:val="24"/>
        </w:rPr>
        <w:drawing>
          <wp:inline distT="0" distB="0" distL="0" distR="0">
            <wp:extent cx="123825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480" w:lineRule="auto"/>
        <w:jc w:val="center"/>
      </w:pPr>
      <w:r>
        <w:rPr>
          <w:rFonts w:ascii="Times New Roman" w:hAnsi="Times New Roman" w:cs="Times New Roman"/>
          <w:b/>
          <w:bCs/>
          <w:color w:val="000000"/>
          <w:sz w:val="24"/>
          <w:szCs w:val="28"/>
        </w:rPr>
        <w:t xml:space="preserve">Guía de Laboratorio: Gestión de Riesgos de Software</w:t>
      </w:r>
    </w:p>
    <w:p>
      <w:pPr>
        <w:spacing w:after="0" w:line="480" w:lineRule="auto" w:before="0"/>
      </w:pPr>
    </w:p>
    <w:p>
      <w:pPr>
        <w:spacing w:after="0" w:line="480" w:lineRule="auto" w:before="0"/>
      </w:pPr>
    </w:p>
    <w:p>
      <w:pPr>
        <w:spacing w:line="480" w:lineRule="auto" w:before="0" w:after="0"/>
        <w:jc w:val="center"/>
      </w:pPr>
      <w:r>
        <w:rPr>
          <w:rFonts w:ascii="Times New Roman" w:hAnsi="Times New Roman" w:cs="Times New Roman"/>
          <w:color w:val="000000"/>
          <w:sz w:val="24"/>
        </w:rPr>
        <w:t xml:space="preserve">Julian Aya Orozco</w:t>
      </w:r>
    </w:p>
    <w:p>
      <w:pPr>
        <w:spacing w:line="480" w:lineRule="auto" w:before="0" w:after="0"/>
        <w:jc w:val="center"/>
      </w:pPr>
      <w:r>
        <w:rPr>
          <w:rFonts w:ascii="Times New Roman" w:hAnsi="Times New Roman" w:cs="Times New Roman"/>
          <w:color w:val="000000"/>
          <w:sz w:val="24"/>
        </w:rPr>
        <w:t xml:space="preserve">Camilo Andres Gonzales Martinez</w:t>
      </w:r>
    </w:p>
    <w:p>
      <w:pPr>
        <w:spacing w:line="480" w:lineRule="auto" w:before="0" w:after="0"/>
        <w:jc w:val="center"/>
      </w:pPr>
      <w:r>
        <w:rPr>
          <w:rFonts w:ascii="Times New Roman" w:hAnsi="Times New Roman" w:cs="Times New Roman"/>
          <w:color w:val="000000"/>
          <w:sz w:val="24"/>
        </w:rPr>
        <w:t xml:space="preserve">Keiry Lucia Olaya Noguera</w:t>
      </w:r>
    </w:p>
    <w:p>
      <w:pPr>
        <w:spacing w:after="0" w:line="480" w:lineRule="auto" w:before="0"/>
        <w:jc w:val="center"/>
      </w:pPr>
      <w:r>
        <w:rPr>
          <w:rFonts w:ascii="Times New Roman" w:hAnsi="Times New Roman" w:cs="Times New Roman"/>
          <w:color w:val="000000"/>
          <w:sz w:val="24"/>
        </w:rPr>
        <w:t xml:space="preserve">Julian Ruiz Guzmán</w:t>
      </w:r>
    </w:p>
    <w:p>
      <w:pPr>
        <w:spacing w:after="0" w:line="480" w:lineRule="auto" w:before="0"/>
      </w:pPr>
    </w:p>
    <w:p>
      <w:pPr>
        <w:spacing w:after="0" w:line="480" w:lineRule="auto" w:before="0"/>
      </w:pPr>
    </w:p>
    <w:p>
      <w:pPr>
        <w:spacing w:after="0" w:line="480" w:lineRule="auto" w:before="0"/>
      </w:pPr>
    </w:p>
    <w:p>
      <w:pPr>
        <w:spacing w:after="0" w:line="480" w:lineRule="auto" w:before="0"/>
      </w:pPr>
    </w:p>
    <w:p>
      <w:pPr>
        <w:spacing w:line="480" w:lineRule="auto" w:before="0" w:after="0"/>
        <w:jc w:val="center"/>
      </w:pPr>
      <w:r>
        <w:rPr>
          <w:rFonts w:ascii="Times New Roman" w:hAnsi="Times New Roman" w:cs="Times New Roman"/>
          <w:color w:val="000000"/>
          <w:sz w:val="24"/>
        </w:rPr>
        <w:t xml:space="preserve">Universidad Manuela Beltrán</w:t>
      </w:r>
    </w:p>
    <w:p>
      <w:pPr>
        <w:spacing w:line="480" w:lineRule="auto" w:before="0" w:after="0"/>
        <w:jc w:val="center"/>
      </w:pPr>
      <w:r>
        <w:rPr>
          <w:rFonts w:ascii="Times New Roman" w:hAnsi="Times New Roman" w:cs="Times New Roman"/>
          <w:color w:val="000000"/>
          <w:sz w:val="24"/>
        </w:rPr>
        <w:t xml:space="preserve">Ingeniería de Software</w:t>
      </w:r>
    </w:p>
    <w:p>
      <w:pPr>
        <w:spacing w:line="480" w:lineRule="auto" w:before="0" w:after="0"/>
        <w:jc w:val="center"/>
      </w:pPr>
      <w:r>
        <w:rPr>
          <w:rFonts w:ascii="Times New Roman" w:hAnsi="Times New Roman" w:cs="Times New Roman"/>
          <w:color w:val="000000"/>
          <w:sz w:val="24"/>
        </w:rPr>
        <w:t xml:space="preserve">Desarrollo de Software Seguro</w:t>
      </w:r>
    </w:p>
    <w:p>
      <w:pPr>
        <w:spacing w:line="480" w:lineRule="auto" w:before="0" w:after="0"/>
        <w:jc w:val="center"/>
      </w:pPr>
      <w:r>
        <w:rPr>
          <w:rFonts w:ascii="Times New Roman" w:hAnsi="Times New Roman" w:cs="Times New Roman"/>
          <w:color w:val="000000"/>
          <w:sz w:val="24"/>
        </w:rPr>
        <w:t xml:space="preserve">Bogotá, Colombia</w:t>
      </w:r>
    </w:p>
    <w:p>
      <w:pPr>
        <w:spacing w:line="480" w:lineRule="auto" w:before="0" w:after="0"/>
        <w:jc w:val="center"/>
      </w:pPr>
      <w:r>
        <w:rPr>
          <w:rFonts w:ascii="Times New Roman" w:hAnsi="Times New Roman" w:cs="Times New Roman"/>
          <w:color w:val="000000"/>
          <w:sz w:val="24"/>
        </w:rPr>
        <w:t xml:space="preserve">2026</w:t>
      </w:r>
    </w:p>
    <w:p>
      <w:pPr>
        <w:spacing w:line="480" w:lineRule="auto" w:before="0" w:after="0"/>
      </w:pPr>
      <w:r>
        <w:rPr>
          <w:rFonts w:ascii="Times New Roman" w:hAnsi="Times New Roman" w:cs="Times New Roman"/>
          <w:color w:val="000000"/>
          <w:sz w:val="24"/>
        </w:rPr>
        <w:br w:type="page"/>
      </w:r>
    </w:p>
    <w:p>
      <w:pPr>
        <w:pStyle w:val="Heading1"/>
        <w:spacing w:line="480" w:lineRule="auto" w:before="0" w:after="0"/>
        <w:jc w:val="center"/>
      </w:pP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Contenido</w:t>
      </w:r>
    </w:p>
    <w:p>
      <w:pPr>
        <w:spacing w:line="480" w:lineRule="auto" w:before="0" w:after="0"/>
        <w:ind w:left="0"/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rPr>
          <w:rFonts w:ascii="Times New Roman" w:hAnsi="Times New Roman"/>
          <w:b/>
          <w:color w:val="000000"/>
          <w:sz w:val="24"/>
        </w:rPr>
        <w:t>Introducción</w:t>
      </w:r>
      <w:r>
        <w:ptab w:relativeTo="margin" w:alignment="right" w:leader="dot"/>
      </w:r>
      <w:r>
        <w:rPr>
          <w:rFonts w:ascii="Times New Roman" w:hAnsi="Times New Roman"/>
          <w:color w:val="000000"/>
          <w:sz w:val="24"/>
        </w:rPr>
        <w:t>3</w:t>
      </w:r>
    </w:p>
    <w:p>
      <w:pPr>
        <w:spacing w:line="480" w:lineRule="auto" w:before="0" w:after="0"/>
        <w:ind w:left="0"/>
      </w:pPr>
      <w:r>
        <w:rPr>
          <w:rFonts w:ascii="Times New Roman" w:hAnsi="Times New Roman"/>
          <w:b/>
          <w:color w:val="000000"/>
          <w:sz w:val="24"/>
        </w:rPr>
        <w:t>Seguridad de Requerimientos</w:t>
      </w:r>
      <w:r>
        <w:ptab w:relativeTo="margin" w:alignment="right" w:leader="dot"/>
      </w:r>
      <w:r>
        <w:rPr>
          <w:rFonts w:ascii="Times New Roman" w:hAnsi="Times New Roman"/>
          <w:color w:val="000000"/>
          <w:sz w:val="24"/>
        </w:rPr>
        <w:t>3</w:t>
      </w:r>
    </w:p>
    <w:p>
      <w:pPr>
        <w:spacing w:line="480" w:lineRule="auto" w:before="0" w:after="0"/>
        <w:ind w:left="0"/>
      </w:pPr>
      <w:r>
        <w:rPr>
          <w:rFonts w:ascii="Times New Roman" w:hAnsi="Times New Roman"/>
          <w:b/>
          <w:color w:val="000000"/>
          <w:sz w:val="24"/>
        </w:rPr>
        <w:t>Casos de Abuso y Modelado de Amenazas</w:t>
      </w:r>
      <w:r>
        <w:ptab w:relativeTo="margin" w:alignment="right" w:leader="dot"/>
      </w:r>
      <w:r>
        <w:rPr>
          <w:rFonts w:ascii="Times New Roman" w:hAnsi="Times New Roman"/>
          <w:color w:val="000000"/>
          <w:sz w:val="24"/>
        </w:rPr>
        <w:t>5</w:t>
      </w:r>
    </w:p>
    <w:p>
      <w:pPr>
        <w:spacing w:line="480" w:lineRule="auto" w:before="0" w:after="0"/>
        <w:ind w:left="360"/>
      </w:pPr>
      <w:r>
        <w:rPr>
          <w:rFonts w:ascii="Times New Roman" w:hAnsi="Times New Roman"/>
          <w:color w:val="000000"/>
          <w:sz w:val="24"/>
        </w:rPr>
        <w:t>Caso de Abuso 1: Fuerza bruta de credenciales</w:t>
      </w:r>
      <w:r>
        <w:ptab w:relativeTo="margin" w:alignment="right" w:leader="dot"/>
      </w:r>
      <w:r>
        <w:rPr>
          <w:rFonts w:ascii="Times New Roman" w:hAnsi="Times New Roman"/>
          <w:color w:val="000000"/>
          <w:sz w:val="24"/>
        </w:rPr>
        <w:t>5</w:t>
      </w:r>
    </w:p>
    <w:p>
      <w:pPr>
        <w:spacing w:line="480" w:lineRule="auto" w:before="0" w:after="0"/>
        <w:ind w:left="360"/>
      </w:pPr>
      <w:r>
        <w:rPr>
          <w:rFonts w:ascii="Times New Roman" w:hAnsi="Times New Roman"/>
          <w:color w:val="000000"/>
          <w:sz w:val="24"/>
        </w:rPr>
        <w:t>Caso de Abuso 2: Robo de sesión / token JWT (session hijacking)</w:t>
      </w:r>
      <w:r>
        <w:ptab w:relativeTo="margin" w:alignment="right" w:leader="dot"/>
      </w:r>
      <w:r>
        <w:rPr>
          <w:rFonts w:ascii="Times New Roman" w:hAnsi="Times New Roman"/>
          <w:color w:val="000000"/>
          <w:sz w:val="24"/>
        </w:rPr>
        <w:t>5</w:t>
      </w:r>
    </w:p>
    <w:p>
      <w:pPr>
        <w:spacing w:line="480" w:lineRule="auto" w:before="0" w:after="0"/>
        <w:ind w:left="360"/>
      </w:pPr>
      <w:r>
        <w:rPr>
          <w:rFonts w:ascii="Times New Roman" w:hAnsi="Times New Roman"/>
          <w:color w:val="000000"/>
          <w:sz w:val="24"/>
        </w:rPr>
        <w:t>Caso de Abuso 3: Inyección SQL en formulario de perfil</w:t>
      </w:r>
      <w:r>
        <w:ptab w:relativeTo="margin" w:alignment="right" w:leader="dot"/>
      </w:r>
      <w:r>
        <w:rPr>
          <w:rFonts w:ascii="Times New Roman" w:hAnsi="Times New Roman"/>
          <w:color w:val="000000"/>
          <w:sz w:val="24"/>
        </w:rPr>
        <w:t>6</w:t>
      </w:r>
    </w:p>
    <w:p>
      <w:pPr>
        <w:spacing w:line="480" w:lineRule="auto" w:before="0" w:after="0"/>
        <w:ind w:left="360"/>
      </w:pPr>
      <w:r>
        <w:rPr>
          <w:rFonts w:ascii="Times New Roman" w:hAnsi="Times New Roman"/>
          <w:color w:val="000000"/>
          <w:sz w:val="24"/>
        </w:rPr>
        <w:t>Caso de Abuso 4: Manipulación de datos socioeconómicos propios</w:t>
      </w:r>
      <w:r>
        <w:ptab w:relativeTo="margin" w:alignment="right" w:leader="dot"/>
      </w:r>
      <w:r>
        <w:rPr>
          <w:rFonts w:ascii="Times New Roman" w:hAnsi="Times New Roman"/>
          <w:color w:val="000000"/>
          <w:sz w:val="24"/>
        </w:rPr>
        <w:t>6</w:t>
      </w:r>
    </w:p>
    <w:p>
      <w:pPr>
        <w:spacing w:line="480" w:lineRule="auto" w:before="0" w:after="0"/>
        <w:ind w:left="360"/>
      </w:pPr>
      <w:r>
        <w:rPr>
          <w:rFonts w:ascii="Times New Roman" w:hAnsi="Times New Roman"/>
          <w:color w:val="000000"/>
          <w:sz w:val="24"/>
        </w:rPr>
        <w:t>Caso de Abuso 5: Ataque de Denegación de Servicio (DDoS) a la API</w:t>
      </w:r>
      <w:r>
        <w:ptab w:relativeTo="margin" w:alignment="right" w:leader="dot"/>
      </w:r>
      <w:r>
        <w:rPr>
          <w:rFonts w:ascii="Times New Roman" w:hAnsi="Times New Roman"/>
          <w:color w:val="000000"/>
          <w:sz w:val="24"/>
        </w:rPr>
        <w:t>6</w:t>
      </w:r>
    </w:p>
    <w:p>
      <w:pPr>
        <w:spacing w:line="480" w:lineRule="auto" w:before="0" w:after="0"/>
        <w:ind w:left="360"/>
      </w:pPr>
      <w:r>
        <w:rPr>
          <w:rFonts w:ascii="Times New Roman" w:hAnsi="Times New Roman"/>
          <w:color w:val="000000"/>
          <w:sz w:val="24"/>
        </w:rPr>
        <w:t>Caso de Abuso 6: Acceso indebido a perfiles ajenos (IDOR)</w:t>
      </w:r>
      <w:r>
        <w:ptab w:relativeTo="margin" w:alignment="right" w:leader="dot"/>
      </w:r>
      <w:r>
        <w:rPr>
          <w:rFonts w:ascii="Times New Roman" w:hAnsi="Times New Roman"/>
          <w:color w:val="000000"/>
          <w:sz w:val="24"/>
        </w:rPr>
        <w:t>7</w:t>
      </w:r>
    </w:p>
    <w:p>
      <w:pPr>
        <w:spacing w:line="480" w:lineRule="auto" w:before="0" w:after="0"/>
        <w:ind w:left="360"/>
      </w:pPr>
      <w:r>
        <w:rPr>
          <w:rFonts w:ascii="Times New Roman" w:hAnsi="Times New Roman"/>
          <w:color w:val="000000"/>
          <w:sz w:val="24"/>
        </w:rPr>
        <w:t>Caso de Abuso 7: Phishing dirigido a usuarios vulnerables</w:t>
      </w:r>
      <w:r>
        <w:ptab w:relativeTo="margin" w:alignment="right" w:leader="dot"/>
      </w:r>
      <w:r>
        <w:rPr>
          <w:rFonts w:ascii="Times New Roman" w:hAnsi="Times New Roman"/>
          <w:color w:val="000000"/>
          <w:sz w:val="24"/>
        </w:rPr>
        <w:t>7</w:t>
      </w:r>
    </w:p>
    <w:p>
      <w:pPr>
        <w:spacing w:line="480" w:lineRule="auto" w:before="0" w:after="0"/>
        <w:ind w:left="360"/>
      </w:pPr>
      <w:r>
        <w:rPr>
          <w:rFonts w:ascii="Times New Roman" w:hAnsi="Times New Roman"/>
          <w:color w:val="000000"/>
          <w:sz w:val="24"/>
        </w:rPr>
        <w:t>Caso de Abuso 8: Filtración/exfiltración de la base de datos</w:t>
      </w:r>
      <w:r>
        <w:ptab w:relativeTo="margin" w:alignment="right" w:leader="dot"/>
      </w:r>
      <w:r>
        <w:rPr>
          <w:rFonts w:ascii="Times New Roman" w:hAnsi="Times New Roman"/>
          <w:color w:val="000000"/>
          <w:sz w:val="24"/>
        </w:rPr>
        <w:t>8</w:t>
      </w:r>
    </w:p>
    <w:p>
      <w:pPr>
        <w:spacing w:line="480" w:lineRule="auto" w:before="0" w:after="0"/>
        <w:ind w:left="360"/>
      </w:pPr>
      <w:r>
        <w:rPr>
          <w:rFonts w:ascii="Times New Roman" w:hAnsi="Times New Roman"/>
          <w:color w:val="000000"/>
          <w:sz w:val="24"/>
        </w:rPr>
        <w:t>Caso de Abuso 9: Envenenamiento del motor de recomendación (data poisoning)</w:t>
      </w:r>
      <w:r>
        <w:ptab w:relativeTo="margin" w:alignment="right" w:leader="dot"/>
      </w:r>
      <w:r>
        <w:rPr>
          <w:rFonts w:ascii="Times New Roman" w:hAnsi="Times New Roman"/>
          <w:color w:val="000000"/>
          <w:sz w:val="24"/>
        </w:rPr>
        <w:t>8</w:t>
      </w:r>
    </w:p>
    <w:p>
      <w:pPr>
        <w:spacing w:line="480" w:lineRule="auto" w:before="0" w:after="0"/>
        <w:ind w:left="360"/>
      </w:pPr>
      <w:r>
        <w:rPr>
          <w:rFonts w:ascii="Times New Roman" w:hAnsi="Times New Roman"/>
          <w:color w:val="000000"/>
          <w:sz w:val="24"/>
        </w:rPr>
        <w:t>Caso de Abuso 10: Registro masivo de cuentas falsas (bots)</w:t>
      </w:r>
      <w:r>
        <w:ptab w:relativeTo="margin" w:alignment="right" w:leader="dot"/>
      </w:r>
      <w:r>
        <w:rPr>
          <w:rFonts w:ascii="Times New Roman" w:hAnsi="Times New Roman"/>
          <w:color w:val="000000"/>
          <w:sz w:val="24"/>
        </w:rPr>
        <w:t>9</w:t>
      </w:r>
    </w:p>
    <w:p>
      <w:pPr>
        <w:spacing w:line="480" w:lineRule="auto" w:before="0" w:after="0"/>
        <w:ind w:left="0"/>
      </w:pPr>
      <w:r>
        <w:rPr>
          <w:rFonts w:ascii="Times New Roman" w:hAnsi="Times New Roman"/>
          <w:b/>
          <w:color w:val="000000"/>
          <w:sz w:val="24"/>
        </w:rPr>
        <w:t>Gestión de Riesgos en Seguridad</w:t>
      </w:r>
      <w:r>
        <w:ptab w:relativeTo="margin" w:alignment="right" w:leader="dot"/>
      </w:r>
      <w:r>
        <w:rPr>
          <w:rFonts w:ascii="Times New Roman" w:hAnsi="Times New Roman"/>
          <w:color w:val="000000"/>
          <w:sz w:val="24"/>
        </w:rPr>
        <w:t>10</w:t>
      </w:r>
    </w:p>
    <w:p>
      <w:pPr>
        <w:spacing w:line="480" w:lineRule="auto" w:before="0" w:after="0"/>
        <w:ind w:left="360"/>
      </w:pPr>
      <w:r>
        <w:rPr>
          <w:rFonts w:ascii="Times New Roman" w:hAnsi="Times New Roman"/>
          <w:color w:val="000000"/>
          <w:sz w:val="24"/>
        </w:rPr>
        <w:t>Plan de mitigación general</w:t>
      </w:r>
      <w:r>
        <w:ptab w:relativeTo="margin" w:alignment="right" w:leader="dot"/>
      </w:r>
      <w:r>
        <w:rPr>
          <w:rFonts w:ascii="Times New Roman" w:hAnsi="Times New Roman"/>
          <w:color w:val="000000"/>
          <w:sz w:val="24"/>
        </w:rPr>
        <w:t>10</w:t>
      </w:r>
    </w:p>
    <w:p>
      <w:pPr>
        <w:spacing w:line="480" w:lineRule="auto" w:before="0" w:after="0"/>
        <w:ind w:left="0"/>
      </w:pPr>
      <w:r>
        <w:rPr>
          <w:rFonts w:ascii="Times New Roman" w:hAnsi="Times New Roman"/>
          <w:b/>
          <w:color w:val="000000"/>
          <w:sz w:val="24"/>
        </w:rPr>
        <w:t>Conclusiones</w:t>
      </w:r>
      <w:r>
        <w:ptab w:relativeTo="margin" w:alignment="right" w:leader="dot"/>
      </w:r>
      <w:r>
        <w:rPr>
          <w:rFonts w:ascii="Times New Roman" w:hAnsi="Times New Roman"/>
          <w:color w:val="000000"/>
          <w:sz w:val="24"/>
        </w:rPr>
        <w:t>11</w:t>
      </w:r>
    </w:p>
    <w:p>
      <w:pPr>
        <w:spacing w:line="480" w:lineRule="auto" w:before="0" w:after="0"/>
        <w:ind w:left="0"/>
      </w:pPr>
      <w:r>
        <w:rPr>
          <w:rFonts w:ascii="Times New Roman" w:hAnsi="Times New Roman"/>
          <w:b/>
          <w:color w:val="000000"/>
          <w:sz w:val="24"/>
        </w:rPr>
        <w:t>Referencias</w:t>
      </w:r>
      <w:r>
        <w:ptab w:relativeTo="margin" w:alignment="right" w:leader="dot"/>
      </w:r>
      <w:r>
        <w:rPr>
          <w:rFonts w:ascii="Times New Roman" w:hAnsi="Times New Roman"/>
          <w:color w:val="000000"/>
          <w:sz w:val="24"/>
        </w:rPr>
        <w:t>12</w:t>
      </w:r>
      <w:r>
        <w:fldChar w:fldCharType="end"/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0" w:before="0" w:line="480" w:lineRule="auto"/>
      </w:pP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Introducción</w:t>
      </w:r>
    </w:p>
    <w:p>
      <w:pPr>
        <w:spacing w:after="0" w:line="480" w:lineRule="auto" w:before="0"/>
        <w:jc w:val="both"/>
      </w:pPr>
      <w:r>
        <w:rPr>
          <w:rFonts w:ascii="Times New Roman" w:hAnsi="Times New Roman" w:cs="Times New Roman"/>
          <w:color w:val="000000"/>
          <w:sz w:val="24"/>
        </w:rPr>
        <w:t xml:space="preserve">Este documento desarrolla la actividad "Gestión de Riesgos de Software", aplicada al proyecto InclusiveAI, un sistema que entrega recomendaciones personalizadas de programas sociales a partir del perfil socioeconómico del usuario. Se parte del análisis de riesgos de ciberseguridad ya realizado (definición de alcance, activos críticos, amenazas y vulnerabilidades) para profundizar en tres frentes: la definición de requisitos de seguridad, la construcción de casos de abuso y modelado de amenazas, y la evaluación de riesgos con su respectivo plan de mitigación.</w:t>
      </w:r>
    </w:p>
    <w:p>
      <w:pPr>
        <w:spacing w:after="0" w:line="480" w:lineRule="auto" w:before="0"/>
        <w:jc w:val="both"/>
      </w:pPr>
      <w:r>
        <w:rPr>
          <w:rFonts w:ascii="Times New Roman" w:hAnsi="Times New Roman" w:cs="Times New Roman"/>
          <w:color w:val="000000"/>
          <w:sz w:val="24"/>
        </w:rPr>
        <w:t xml:space="preserve">El alcance analizado corresponde al flujo: registro de usuario, autenticación, captura del perfil socioeconómico, análisis de elegibilidad y generación de recomendaciones.</w:t>
      </w:r>
    </w:p>
    <w:p>
      <w:pPr>
        <w:pStyle w:val="Heading1"/>
        <w:spacing w:after="0" w:before="0" w:line="480" w:lineRule="auto"/>
      </w:pP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Seguridad de Requerimientos</w:t>
      </w:r>
    </w:p>
    <w:p>
      <w:pPr>
        <w:spacing w:after="0" w:line="480" w:lineRule="auto" w:before="0"/>
        <w:jc w:val="both"/>
      </w:pPr>
      <w:r>
        <w:rPr>
          <w:rFonts w:ascii="Times New Roman" w:hAnsi="Times New Roman" w:cs="Times New Roman"/>
          <w:color w:val="000000"/>
          <w:sz w:val="24"/>
        </w:rPr>
        <w:t xml:space="preserve">A continuación se documentan los requisitos de seguridad (funcionales y no funcionales) identificados para el proyecto InclusiveAI, junto con su justificación.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9"/>
        <w:gridCol w:w="1933"/>
        <w:gridCol w:w="1213"/>
        <w:gridCol w:w="2903"/>
        <w:gridCol w:w="2912"/>
      </w:tblGrid>
      <w:tr>
        <w:trPr>
          <w:tblHeader/>
        </w:trPr>
        <w:tc>
          <w:tcPr>
            <w:tcW w:type="dxa" w:w="39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3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21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90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91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399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93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Autenticación multifactor (MFA)</w:t>
            </w:r>
          </w:p>
        </w:tc>
        <w:tc>
          <w:tcPr>
            <w:tcW w:type="dxa" w:w="121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No funcional</w:t>
            </w:r>
          </w:p>
        </w:tc>
        <w:tc>
          <w:tcPr>
            <w:tcW w:type="dxa" w:w="290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El sistema debe exigir un segundo factor de autenticación para todo usuario que acceda a su perfil socioeconómico o a datos de elegibilidad.</w:t>
            </w:r>
          </w:p>
        </w:tc>
        <w:tc>
          <w:tcPr>
            <w:tcW w:type="dxa" w:w="29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Evita el acceso no autorizado aunque la contraseña sea comprometida (relevante por el carácter sensible de los datos de poblaciones vulnerables).</w:t>
            </w:r>
          </w:p>
        </w:tc>
      </w:tr>
      <w:tr>
        <w:tc>
          <w:tcPr>
            <w:tcW w:type="dxa" w:w="399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93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Expiración automática de sesión</w:t>
            </w:r>
          </w:p>
        </w:tc>
        <w:tc>
          <w:tcPr>
            <w:tcW w:type="dxa" w:w="121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No funcional</w:t>
            </w:r>
          </w:p>
        </w:tc>
        <w:tc>
          <w:tcPr>
            <w:tcW w:type="dxa" w:w="290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Las sesiones deben cerrarse automáticamente tras 15 minutos de inactividad y los tokens JWT deben tener un tiempo de vida corto (≤30 min) con renovación controlada.</w:t>
            </w:r>
          </w:p>
        </w:tc>
        <w:tc>
          <w:tcPr>
            <w:tcW w:type="dxa" w:w="2912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Reduce la ventana de explotación de una sesión abierta en un dispositivo compartido o robado.</w:t>
            </w:r>
          </w:p>
        </w:tc>
      </w:tr>
      <w:tr>
        <w:tc>
          <w:tcPr>
            <w:tcW w:type="dxa" w:w="399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93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Cifrado de datos en reposo</w:t>
            </w:r>
          </w:p>
        </w:tc>
        <w:tc>
          <w:tcPr>
            <w:tcW w:type="dxa" w:w="121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No funcional</w:t>
            </w:r>
          </w:p>
        </w:tc>
        <w:tc>
          <w:tcPr>
            <w:tcW w:type="dxa" w:w="290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Toda la información personal y socioeconómica (ingresos, empleo, vulnerabilidad) debe almacenarse cifrada con AES-256.</w:t>
            </w:r>
          </w:p>
        </w:tc>
        <w:tc>
          <w:tcPr>
            <w:tcW w:type="dxa" w:w="29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Protege la confidencialidad de los datos si la base de datos es accedida sin autorización.</w:t>
            </w:r>
          </w:p>
        </w:tc>
      </w:tr>
      <w:tr>
        <w:tc>
          <w:tcPr>
            <w:tcW w:type="dxa" w:w="399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93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Cifrado de datos en tránsito</w:t>
            </w:r>
          </w:p>
        </w:tc>
        <w:tc>
          <w:tcPr>
            <w:tcW w:type="dxa" w:w="121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No funcional</w:t>
            </w:r>
          </w:p>
        </w:tc>
        <w:tc>
          <w:tcPr>
            <w:tcW w:type="dxa" w:w="290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Todas las comunicaciones cliente-servidor y las llamadas a la API de recomendaciones deben usar HTTPS/TLS 1.2 o superior.</w:t>
            </w:r>
          </w:p>
        </w:tc>
        <w:tc>
          <w:tcPr>
            <w:tcW w:type="dxa" w:w="2912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Evita la interceptación (man-in-the-middle) de credenciales y datos sensibles.</w:t>
            </w:r>
          </w:p>
        </w:tc>
      </w:tr>
      <w:tr>
        <w:tc>
          <w:tcPr>
            <w:tcW w:type="dxa" w:w="399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93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Registro de actividad (logging) de autenticación</w:t>
            </w:r>
          </w:p>
        </w:tc>
        <w:tc>
          <w:tcPr>
            <w:tcW w:type="dxa" w:w="121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  <w:tc>
          <w:tcPr>
            <w:tcW w:type="dxa" w:w="290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El sistema debe registrar todos los intentos de inicio de sesión (exitosos y fallidos) con marca de tiempo, IP y usuario.</w:t>
            </w:r>
          </w:p>
        </w:tc>
        <w:tc>
          <w:tcPr>
            <w:tcW w:type="dxa" w:w="29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Permite detectar patrones de ataque (fuerza bruta, acceso desde ubicaciones inusuales).</w:t>
            </w:r>
          </w:p>
        </w:tc>
      </w:tr>
      <w:tr>
        <w:tc>
          <w:tcPr>
            <w:tcW w:type="dxa" w:w="399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93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Control de acceso basado en roles (RBAC)</w:t>
            </w:r>
          </w:p>
        </w:tc>
        <w:tc>
          <w:tcPr>
            <w:tcW w:type="dxa" w:w="121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  <w:tc>
          <w:tcPr>
            <w:tcW w:type="dxa" w:w="290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El sistema debe restringir las operaciones de lectura/escritura según el rol (usuario, gestor de programa, administrador), impidiendo que un usuario acceda al perfil de otro.</w:t>
            </w:r>
          </w:p>
        </w:tc>
        <w:tc>
          <w:tcPr>
            <w:tcW w:type="dxa" w:w="2912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Previene el acceso indebido (IDOR) entre usuarios y limita el daño de una cuenta comprometida.</w:t>
            </w:r>
          </w:p>
        </w:tc>
      </w:tr>
      <w:tr>
        <w:tc>
          <w:tcPr>
            <w:tcW w:type="dxa" w:w="399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93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Validación y sanitización de entradas</w:t>
            </w:r>
          </w:p>
        </w:tc>
        <w:tc>
          <w:tcPr>
            <w:tcW w:type="dxa" w:w="121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  <w:tc>
          <w:tcPr>
            <w:tcW w:type="dxa" w:w="290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Todo dato ingresado en formularios de registro, perfil socioeconómico y en las llamadas a la API debe validarse en formato, tipo y rango, y sanitizarse antes de procesarse o almacenarse.</w:t>
            </w:r>
          </w:p>
        </w:tc>
        <w:tc>
          <w:tcPr>
            <w:tcW w:type="dxa" w:w="29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Previene inyección SQL, XSS y la manipulación de datos que alimentan el motor de recomendación.</w:t>
            </w:r>
          </w:p>
        </w:tc>
      </w:tr>
      <w:tr>
        <w:tc>
          <w:tcPr>
            <w:tcW w:type="dxa" w:w="399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93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Límite de tasa de peticiones (rate limiting)</w:t>
            </w:r>
          </w:p>
        </w:tc>
        <w:tc>
          <w:tcPr>
            <w:tcW w:type="dxa" w:w="121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No funcional</w:t>
            </w:r>
          </w:p>
        </w:tc>
        <w:tc>
          <w:tcPr>
            <w:tcW w:type="dxa" w:w="290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La API de recomendaciones y el formulario de registro deben limitar el número de solicitudes por IP/usuario en una ventana de tiempo, con CAPTCHA tras varios intentos fallidos.</w:t>
            </w:r>
          </w:p>
        </w:tc>
        <w:tc>
          <w:tcPr>
            <w:tcW w:type="dxa" w:w="2912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Mitiga ataques de denegación de servicio (DDoS) y la creación masiva de cuentas falsas (bots).</w:t>
            </w:r>
          </w:p>
        </w:tc>
      </w:tr>
      <w:tr>
        <w:tc>
          <w:tcPr>
            <w:tcW w:type="dxa" w:w="399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93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Verificación de recomendaciones contra fuentes oficiales</w:t>
            </w:r>
          </w:p>
        </w:tc>
        <w:tc>
          <w:tcPr>
            <w:tcW w:type="dxa" w:w="121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  <w:tc>
          <w:tcPr>
            <w:tcW w:type="dxa" w:w="290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Antes de mostrarse al usuario, cada recomendación generada debe verificarse (RAG) contra la base de datos oficial de programas y criterios de elegibilidad.</w:t>
            </w:r>
          </w:p>
        </w:tc>
        <w:tc>
          <w:tcPr>
            <w:tcW w:type="dxa" w:w="29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Evita recomendaciones incorrectas o manipuladas que perjudiquen a la población objetivo del proyecto (SDG 10).</w:t>
            </w:r>
          </w:p>
        </w:tc>
      </w:tr>
      <w:tr>
        <w:tc>
          <w:tcPr>
            <w:tcW w:type="dxa" w:w="399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93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Política de contraseñas robustas</w:t>
            </w:r>
          </w:p>
        </w:tc>
        <w:tc>
          <w:tcPr>
            <w:tcW w:type="dxa" w:w="121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No funcional</w:t>
            </w:r>
          </w:p>
        </w:tc>
        <w:tc>
          <w:tcPr>
            <w:tcW w:type="dxa" w:w="290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Las contraseñas deben tener mínimo 12 caracteres, combinar mayúsculas, minúsculas, números y símbolos, y no permitir contraseñas previamente filtradas (breach lists).</w:t>
            </w:r>
          </w:p>
        </w:tc>
        <w:tc>
          <w:tcPr>
            <w:tcW w:type="dxa" w:w="2912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Reduce la probabilidad de éxito de ataques de fuerza bruta o diccionario.</w:t>
            </w:r>
          </w:p>
        </w:tc>
      </w:tr>
      <w:tr>
        <w:tc>
          <w:tcPr>
            <w:tcW w:type="dxa" w:w="399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93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Auditoría e integridad de datos socioeconómicos</w:t>
            </w:r>
          </w:p>
        </w:tc>
        <w:tc>
          <w:tcPr>
            <w:tcW w:type="dxa" w:w="121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No funcional</w:t>
            </w:r>
          </w:p>
        </w:tc>
        <w:tc>
          <w:tcPr>
            <w:tcW w:type="dxa" w:w="290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Toda modificación a los datos socioeconómicos de un usuario debe quedar versionada y firmada digitalmente, con alertas ante cambios inusuales.</w:t>
            </w:r>
          </w:p>
        </w:tc>
        <w:tc>
          <w:tcPr>
            <w:tcW w:type="dxa" w:w="29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Garantiza la integridad de la información usada para decidir la elegibilidad a programas sociales.</w:t>
            </w:r>
          </w:p>
        </w:tc>
      </w:tr>
    </w:tbl>
    <w:p>
      <w:pPr>
        <w:spacing w:line="480" w:lineRule="auto" w:before="0" w:after="0"/>
      </w:pPr>
      <w:r>
        <w:rPr>
          <w:rFonts w:ascii="Times New Roman" w:hAnsi="Times New Roman" w:cs="Times New Roman"/>
          <w:color w:val="000000"/>
          <w:sz w:val="24"/>
        </w:rPr>
        <w:br w:type="page"/>
      </w:r>
    </w:p>
    <w:p>
      <w:pPr>
        <w:pStyle w:val="Heading1"/>
        <w:spacing w:after="0" w:before="0" w:line="480" w:lineRule="auto"/>
      </w:pP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Casos de Abuso y Modelado de Amenazas</w:t>
      </w:r>
    </w:p>
    <w:p>
      <w:pPr>
        <w:spacing w:after="0" w:line="480" w:lineRule="auto" w:before="0"/>
        <w:jc w:val="both"/>
      </w:pPr>
      <w:r>
        <w:rPr>
          <w:rFonts w:ascii="Times New Roman" w:hAnsi="Times New Roman" w:cs="Times New Roman"/>
          <w:color w:val="000000"/>
          <w:sz w:val="24"/>
        </w:rPr>
        <w:t xml:space="preserve">Se desarrollaron 10 casos de abuso a partir de las amenazas y vulnerabilidades identificadas previamente (hackers externos, ataques DDoS, usuarios maliciosos, validación de entradas insuficiente, control de acceso inadecuado). Cada caso describe el atacante, el objetivo, sus acciones, el impacto potencial y las mitigaciones propuestas.</w:t>
      </w:r>
    </w:p>
    <w:p>
      <w:pPr>
        <w:pStyle w:val="Heading2"/>
        <w:spacing w:after="0" w:before="0" w:line="480" w:lineRule="auto"/>
      </w:pP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Caso de Abuso 1: Fuerza bruta de credenciales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7"/>
        <w:gridCol w:w="7263"/>
      </w:tblGrid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Atacante</w:t>
            </w:r>
          </w:p>
        </w:tc>
        <w:tc>
          <w:tcPr>
            <w:tcW w:type="dxa" w:w="726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Hacker externo con herramientas automatizadas de prueba de contraseñas.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Objetivo del ataque</w:t>
            </w:r>
          </w:p>
        </w:tc>
        <w:tc>
          <w:tcPr>
            <w:tcW w:type="dxa" w:w="726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Obtener acceso no autorizado a la cuenta de un usuario para leer su perfil socioeconómico.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26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Ejecuta miles de combinaciones de usuario/contraseña contra el endpoint de login (ataque de diccionario o fuerza bruta).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Impacto potencial</w:t>
            </w:r>
          </w:p>
        </w:tc>
        <w:tc>
          <w:tcPr>
            <w:tcW w:type="dxa" w:w="726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Acceso no autorizado a datos personales y socioeconómicos sensibles; posible robo de identidad.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Mitigaciones propuestas</w:t>
            </w:r>
          </w:p>
        </w:tc>
        <w:tc>
          <w:tcPr>
            <w:tcW w:type="dxa" w:w="726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MFA (Req. 1), límite de intentos y bloqueo temporal, rate limiting con CAPTCHA (Req. 8), política de contraseñas robustas (Req. 10), monitoreo de logins fallidos (Req. 5).</w:t>
            </w:r>
          </w:p>
        </w:tc>
      </w:tr>
    </w:tbl>
    <w:p>
      <w:pPr>
        <w:spacing w:after="0" w:before="0" w:line="480" w:lineRule="auto"/>
      </w:pP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Prueba de riesgo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Probabilidad (1-5)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Impacto (1-5)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Nivel de riesgo (P x I)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340"/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Alto</w:t>
            </w:r>
          </w:p>
        </w:tc>
      </w:tr>
    </w:tbl>
    <w:p>
      <w:pPr>
        <w:spacing w:after="0" w:line="480" w:lineRule="auto" w:before="0"/>
      </w:pPr>
    </w:p>
    <w:p>
      <w:pPr>
        <w:pStyle w:val="Heading2"/>
        <w:spacing w:after="0" w:before="0" w:line="480" w:lineRule="auto"/>
      </w:pP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Caso de Abuso 2: Robo de sesión / token JWT (session hijacking)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7"/>
        <w:gridCol w:w="7263"/>
      </w:tblGrid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Atacante</w:t>
            </w:r>
          </w:p>
        </w:tc>
        <w:tc>
          <w:tcPr>
            <w:tcW w:type="dxa" w:w="726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Atacante externo que intercepta tráfico en una red no segura o roba el token del navegador (XSS).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Objetivo del ataque</w:t>
            </w:r>
          </w:p>
        </w:tc>
        <w:tc>
          <w:tcPr>
            <w:tcW w:type="dxa" w:w="726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Suplantar a un usuario legítimo sin necesidad de sus credenciales.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26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Captura el token JWT de la sesión y lo reutiliza para autenticarse como el usuario ante la API.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Impacto potencial</w:t>
            </w:r>
          </w:p>
        </w:tc>
        <w:tc>
          <w:tcPr>
            <w:tcW w:type="dxa" w:w="726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Suplantación de identidad, acceso a datos del usuario, posibles cambios no autorizados en su perfil.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Mitigaciones propuestas</w:t>
            </w:r>
          </w:p>
        </w:tc>
        <w:tc>
          <w:tcPr>
            <w:tcW w:type="dxa" w:w="726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HTTPS obligatorio (Req. 4), expiración corta de tokens (Req. 2), invalidación de tokens al cerrar sesión, cabeceras HttpOnly/Secure en cookies.</w:t>
            </w:r>
          </w:p>
        </w:tc>
      </w:tr>
    </w:tbl>
    <w:p>
      <w:pPr>
        <w:spacing w:after="0" w:before="0" w:line="480" w:lineRule="auto"/>
      </w:pP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Prueba de riesgo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Probabilidad (1-5)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Impacto (1-5)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Nivel de riesgo (P x I)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shd w:fill="BF8F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Medio</w:t>
            </w:r>
          </w:p>
        </w:tc>
      </w:tr>
    </w:tbl>
    <w:p>
      <w:pPr>
        <w:spacing w:after="0" w:line="480" w:lineRule="auto" w:before="0"/>
      </w:pPr>
    </w:p>
    <w:p>
      <w:pPr>
        <w:pStyle w:val="Heading2"/>
        <w:spacing w:after="0" w:before="0" w:line="480" w:lineRule="auto"/>
      </w:pP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Caso de Abuso 3: Inyección SQL en formulario de 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7"/>
        <w:gridCol w:w="7263"/>
      </w:tblGrid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Atacante</w:t>
            </w:r>
          </w:p>
        </w:tc>
        <w:tc>
          <w:tcPr>
            <w:tcW w:type="dxa" w:w="726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Hacker externo con conocimientos técnicos de explotación web.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Objetivo del ataque</w:t>
            </w:r>
          </w:p>
        </w:tc>
        <w:tc>
          <w:tcPr>
            <w:tcW w:type="dxa" w:w="726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Extraer o modificar directamente la base de datos de usuarios.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26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Inserta código SQL malicioso en el campo de registro/perfil socioeconómico para eludir la lógica de la aplicación.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Impacto potencial</w:t>
            </w:r>
          </w:p>
        </w:tc>
        <w:tc>
          <w:tcPr>
            <w:tcW w:type="dxa" w:w="726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Fuga masiva de datos, corrupción de la base de datos, pérdida total de confidencialidad e integridad.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Mitigaciones propuestas</w:t>
            </w:r>
          </w:p>
        </w:tc>
        <w:tc>
          <w:tcPr>
            <w:tcW w:type="dxa" w:w="726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Validación y sanitización de entradas (Req. 7), uso de consultas parametrizadas/ORM, principio de mínimo privilegio en la cuenta de BD.</w:t>
            </w:r>
          </w:p>
        </w:tc>
      </w:tr>
    </w:tbl>
    <w:p>
      <w:pPr>
        <w:spacing w:after="0" w:before="0" w:line="480" w:lineRule="auto"/>
      </w:pP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Prueba de riesgo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Probabilidad (1-5)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Impacto (1-5)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Nivel de riesgo (P x I)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Alto</w:t>
            </w:r>
          </w:p>
        </w:tc>
      </w:tr>
    </w:tbl>
    <w:p>
      <w:pPr>
        <w:spacing w:after="0" w:line="480" w:lineRule="auto" w:before="0"/>
      </w:pPr>
    </w:p>
    <w:p>
      <w:pPr>
        <w:pStyle w:val="Heading2"/>
        <w:spacing w:after="0" w:before="0" w:line="480" w:lineRule="auto"/>
      </w:pP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Caso de Abuso 4: Manipulación de datos socioeconómicos propios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7"/>
        <w:gridCol w:w="7263"/>
      </w:tblGrid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Atacante</w:t>
            </w:r>
          </w:p>
        </w:tc>
        <w:tc>
          <w:tcPr>
            <w:tcW w:type="dxa" w:w="726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Usuario malicioso del propio sistema (insider - usuario final).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Objetivo del ataque</w:t>
            </w:r>
          </w:p>
        </w:tc>
        <w:tc>
          <w:tcPr>
            <w:tcW w:type="dxa" w:w="726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Obtener acceso fraudulento a un programa social para el que no cumple los requisitos.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26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Modifica valores de ingreso, empleo o composición familiar en su perfil para simular una condición de mayor vulnerabilidad.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Impacto potencial</w:t>
            </w:r>
          </w:p>
        </w:tc>
        <w:tc>
          <w:tcPr>
            <w:tcW w:type="dxa" w:w="726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Asignación injusta de recursos limitados, perjudicando a la población realmente vulnerable (contrario al objetivo del SDG 10).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Mitigaciones propuestas</w:t>
            </w:r>
          </w:p>
        </w:tc>
        <w:tc>
          <w:tcPr>
            <w:tcW w:type="dxa" w:w="726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Validación cruzada de datos con fuentes oficiales cuando sea posible, auditoría e integridad de datos (Req. 11), reglas de consistencia y alertas por cambios atípicos.</w:t>
            </w:r>
          </w:p>
        </w:tc>
      </w:tr>
    </w:tbl>
    <w:p>
      <w:pPr>
        <w:spacing w:after="0" w:before="0" w:line="480" w:lineRule="auto"/>
      </w:pP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Prueba de riesgo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Probabilidad (1-5)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Impacto (1-5)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Nivel de riesgo (P x I)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shd w:fill="BF8F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Medio</w:t>
            </w:r>
          </w:p>
        </w:tc>
      </w:tr>
    </w:tbl>
    <w:p>
      <w:pPr>
        <w:spacing w:after="0" w:line="480" w:lineRule="auto" w:before="0"/>
      </w:pPr>
    </w:p>
    <w:p>
      <w:pPr>
        <w:pStyle w:val="Heading2"/>
        <w:spacing w:after="0" w:before="0" w:line="480" w:lineRule="auto"/>
      </w:pP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Caso de Abuso 5: Ataque de Denegación de Servicio (DDoS) a la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7"/>
        <w:gridCol w:w="7263"/>
      </w:tblGrid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Atacante</w:t>
            </w:r>
          </w:p>
        </w:tc>
        <w:tc>
          <w:tcPr>
            <w:tcW w:type="dxa" w:w="726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Grupo malintencionado o red de bots (botnet).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Objetivo del ataque</w:t>
            </w:r>
          </w:p>
        </w:tc>
        <w:tc>
          <w:tcPr>
            <w:tcW w:type="dxa" w:w="726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Interrumpir la disponibilidad del módulo de recomendaciones.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26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Envía un volumen masivo de solicitudes simultáneas a la API de recomendaciones para saturar los recursos del servidor.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Impacto potencial</w:t>
            </w:r>
          </w:p>
        </w:tc>
        <w:tc>
          <w:tcPr>
            <w:tcW w:type="dxa" w:w="726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Indisponibilidad del servicio; usuarios vulnerables no pueden acceder a información de programas de ayuda cuando la necesitan.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Mitigaciones propuestas</w:t>
            </w:r>
          </w:p>
        </w:tc>
        <w:tc>
          <w:tcPr>
            <w:tcW w:type="dxa" w:w="726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Rate limiting (Req. 8), CDN con protección anti-DDoS, autoescalado, monitoreo en tiempo real de anomalías de tráfico.</w:t>
            </w:r>
          </w:p>
        </w:tc>
      </w:tr>
    </w:tbl>
    <w:p>
      <w:pPr>
        <w:spacing w:after="0" w:before="0" w:line="480" w:lineRule="auto"/>
      </w:pP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Prueba de riesgo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Probabilidad (1-5)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Impacto (1-5)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Nivel de riesgo (P x I)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shd w:fill="BF8F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Medio</w:t>
            </w:r>
          </w:p>
        </w:tc>
      </w:tr>
    </w:tbl>
    <w:p>
      <w:pPr>
        <w:spacing w:after="0" w:line="480" w:lineRule="auto" w:before="0"/>
      </w:pPr>
    </w:p>
    <w:p>
      <w:pPr>
        <w:pStyle w:val="Heading2"/>
        <w:spacing w:after="0" w:before="0" w:line="480" w:lineRule="auto"/>
      </w:pP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Caso de Abuso 6: Acceso indebido a perfiles ajenos (IDOR)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7"/>
        <w:gridCol w:w="7263"/>
      </w:tblGrid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Atacante</w:t>
            </w:r>
          </w:p>
        </w:tc>
        <w:tc>
          <w:tcPr>
            <w:tcW w:type="dxa" w:w="726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Usuario autenticado con intenciones maliciosas.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Objetivo del ataque</w:t>
            </w:r>
          </w:p>
        </w:tc>
        <w:tc>
          <w:tcPr>
            <w:tcW w:type="dxa" w:w="726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Consultar o modificar el perfil socioeconómico de otro usuario.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26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Modifica el identificador de usuario en la URL o en la petición a la API para acceder a registros que no le pertenecen.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Impacto potencial</w:t>
            </w:r>
          </w:p>
        </w:tc>
        <w:tc>
          <w:tcPr>
            <w:tcW w:type="dxa" w:w="726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Violación de privacidad, exposición de datos sensibles de terceros, pérdida de confianza en la plataforma.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Mitigaciones propuestas</w:t>
            </w:r>
          </w:p>
        </w:tc>
        <w:tc>
          <w:tcPr>
            <w:tcW w:type="dxa" w:w="726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RBAC y verificación de propiedad del recurso en cada petición (Req. 6), uso de identificadores no predecibles (UUID), pruebas de autorización a nivel de objeto.</w:t>
            </w:r>
          </w:p>
        </w:tc>
      </w:tr>
    </w:tbl>
    <w:p>
      <w:pPr>
        <w:spacing w:after="0" w:before="0" w:line="480" w:lineRule="auto"/>
      </w:pP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Prueba de riesgo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Probabilidad (1-5)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Impacto (1-5)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Nivel de riesgo (P x I)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shd w:fill="BF8F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Medio</w:t>
            </w:r>
          </w:p>
        </w:tc>
      </w:tr>
    </w:tbl>
    <w:p>
      <w:pPr>
        <w:spacing w:after="0" w:line="480" w:lineRule="auto" w:before="0"/>
      </w:pPr>
    </w:p>
    <w:p>
      <w:pPr>
        <w:pStyle w:val="Heading2"/>
        <w:spacing w:after="0" w:before="0" w:line="480" w:lineRule="auto"/>
      </w:pP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Caso de Abuso 7: Phishing dirigido a usuarios vulnerables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7"/>
        <w:gridCol w:w="7263"/>
      </w:tblGrid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Atacante</w:t>
            </w:r>
          </w:p>
        </w:tc>
        <w:tc>
          <w:tcPr>
            <w:tcW w:type="dxa" w:w="726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Atacante externo que se hace pasar por InclusiveAI o por una entidad oficial.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Objetivo del ataque</w:t>
            </w:r>
          </w:p>
        </w:tc>
        <w:tc>
          <w:tcPr>
            <w:tcW w:type="dxa" w:w="726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Robar credenciales o datos personales directamente del usuario.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26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Envía correos o mensajes falsos solicitando 'verificar' la cuenta o los datos socioeconómicos a través de un enlace fraudulento.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Impacto potencial</w:t>
            </w:r>
          </w:p>
        </w:tc>
        <w:tc>
          <w:tcPr>
            <w:tcW w:type="dxa" w:w="726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Robo de credenciales y datos personales; el atacante puede acceder a la cuenta real y a beneficios asociados.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Mitigaciones propuestas</w:t>
            </w:r>
          </w:p>
        </w:tc>
        <w:tc>
          <w:tcPr>
            <w:tcW w:type="dxa" w:w="726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Educación y avisos al usuario, MFA que limita el daño del robo de contraseña (Req. 1), autenticación de dominio de correo (SPF/DKIM/DMARC), monitoreo de accesos desde ubicaciones inusuales.</w:t>
            </w:r>
          </w:p>
        </w:tc>
      </w:tr>
    </w:tbl>
    <w:p>
      <w:pPr>
        <w:spacing w:after="0" w:before="0" w:line="480" w:lineRule="auto"/>
      </w:pP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Prueba de riesgo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Probabilidad (1-5)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Impacto (1-5)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Nivel de riesgo (P x I)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340"/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Alto</w:t>
            </w:r>
          </w:p>
        </w:tc>
      </w:tr>
    </w:tbl>
    <w:p>
      <w:pPr>
        <w:spacing w:after="0" w:line="480" w:lineRule="auto" w:before="0"/>
      </w:pPr>
    </w:p>
    <w:p>
      <w:pPr>
        <w:pStyle w:val="Heading2"/>
        <w:spacing w:after="0" w:before="0" w:line="480" w:lineRule="auto"/>
      </w:pP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Caso de Abuso 8: Filtración/exfiltración de la base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7"/>
        <w:gridCol w:w="7263"/>
      </w:tblGrid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Atacante</w:t>
            </w:r>
          </w:p>
        </w:tc>
        <w:tc>
          <w:tcPr>
            <w:tcW w:type="dxa" w:w="726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Hacker externo avanzado o insider con acceso privilegiado.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Objetivo del ataque</w:t>
            </w:r>
          </w:p>
        </w:tc>
        <w:tc>
          <w:tcPr>
            <w:tcW w:type="dxa" w:w="726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Extraer masivamente los datos socioeconómicos y de vulnerabilidad de todos los usuarios.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26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Explota una vulnerabilidad de acceso o credenciales privilegiadas para copiar y extraer la base de datos completa.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Impacto potencial</w:t>
            </w:r>
          </w:p>
        </w:tc>
        <w:tc>
          <w:tcPr>
            <w:tcW w:type="dxa" w:w="726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Violación grave de privacidad a gran escala, riesgo de discriminación o estigmatización de poblaciones vulnerables, daño reputacional severo.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Mitigaciones propuestas</w:t>
            </w:r>
          </w:p>
        </w:tc>
        <w:tc>
          <w:tcPr>
            <w:tcW w:type="dxa" w:w="726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Cifrado en reposo (Req. 3), MFA para accesos privilegiados (Req. 1), segmentación de red, alertas de exfiltración (DLP), auditoría de accesos (Req. 11).</w:t>
            </w:r>
          </w:p>
        </w:tc>
      </w:tr>
    </w:tbl>
    <w:p>
      <w:pPr>
        <w:spacing w:after="0" w:before="0" w:line="480" w:lineRule="auto"/>
      </w:pP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Prueba de riesgo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Probabilidad (1-5)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Impacto (1-5)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Nivel de riesgo (P x I)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shd w:fill="BF8F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Medio</w:t>
            </w:r>
          </w:p>
        </w:tc>
      </w:tr>
    </w:tbl>
    <w:p>
      <w:pPr>
        <w:spacing w:after="0" w:line="480" w:lineRule="auto" w:before="0"/>
      </w:pPr>
    </w:p>
    <w:p>
      <w:pPr>
        <w:pStyle w:val="Heading2"/>
        <w:spacing w:after="0" w:before="0" w:line="480" w:lineRule="auto"/>
      </w:pP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Caso de Abuso 9: Envenenamiento del motor de recomendación (data poisoning)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7"/>
        <w:gridCol w:w="7263"/>
      </w:tblGrid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Atacante</w:t>
            </w:r>
          </w:p>
        </w:tc>
        <w:tc>
          <w:tcPr>
            <w:tcW w:type="dxa" w:w="726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Usuario malicioso o grupo organizado con conocimiento del sistema.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Objetivo del ataque</w:t>
            </w:r>
          </w:p>
        </w:tc>
        <w:tc>
          <w:tcPr>
            <w:tcW w:type="dxa" w:w="726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Sesgar las recomendaciones del sistema para perjudicar o favorecer arbitrariamente a ciertos grupos.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26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Introduce datos falsos o manipulados a gran escala (perfiles falsos, respuestas inconsistentes) para alterar el comportamiento del modelo de recomendación.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Impacto potencial</w:t>
            </w:r>
          </w:p>
        </w:tc>
        <w:tc>
          <w:tcPr>
            <w:tcW w:type="dxa" w:w="726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Recomendaciones injustas o discriminatorias, contrarias al propósito de reducir desigualdades (SDG 10), pérdida de credibilidad del sistema.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Mitigaciones propuestas</w:t>
            </w:r>
          </w:p>
        </w:tc>
        <w:tc>
          <w:tcPr>
            <w:tcW w:type="dxa" w:w="726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Verificación de recomendaciones contra fuentes oficiales (Req. 9), validación y sanitización de entradas (Req. 7), límites de registro/bots (Req. 8), monitoreo de desviaciones estadísticas en el modelo.</w:t>
            </w:r>
          </w:p>
        </w:tc>
      </w:tr>
    </w:tbl>
    <w:p>
      <w:pPr>
        <w:spacing w:after="0" w:before="0" w:line="480" w:lineRule="auto"/>
      </w:pP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Prueba de riesgo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Probabilidad (1-5)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Impacto (1-5)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Nivel de riesgo (P x I)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shd w:fill="BF8F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Medio</w:t>
            </w:r>
          </w:p>
        </w:tc>
      </w:tr>
    </w:tbl>
    <w:p>
      <w:pPr>
        <w:spacing w:after="0" w:line="480" w:lineRule="auto" w:before="0"/>
      </w:pPr>
    </w:p>
    <w:p>
      <w:pPr>
        <w:pStyle w:val="Heading2"/>
        <w:spacing w:after="0" w:before="0" w:line="480" w:lineRule="auto"/>
      </w:pP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Caso de Abuso 10: Registro masivo de cuentas falsas (bots)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7"/>
        <w:gridCol w:w="7263"/>
      </w:tblGrid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Atacante</w:t>
            </w:r>
          </w:p>
        </w:tc>
        <w:tc>
          <w:tcPr>
            <w:tcW w:type="dxa" w:w="726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Bots automatizados o actores que buscan agotar recursos del programa.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Objetivo del ataque</w:t>
            </w:r>
          </w:p>
        </w:tc>
        <w:tc>
          <w:tcPr>
            <w:tcW w:type="dxa" w:w="726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Crear cientos de cuentas falsas para acaparar cupos o beneficios limitados de los programas sociales.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26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Automatiza el proceso de registro con datos falsos o robados, evadiendo controles básicos de verificación.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Impacto potencial</w:t>
            </w:r>
          </w:p>
        </w:tc>
        <w:tc>
          <w:tcPr>
            <w:tcW w:type="dxa" w:w="726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Agotamiento de recursos destinados a la población vulnerable real; distorsión de las estadísticas del sistema.</w:t>
            </w:r>
          </w:p>
        </w:tc>
      </w:tr>
      <w:tr>
        <w:tc>
          <w:tcPr>
            <w:tcW w:type="dxa" w:w="2097"/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Mitigaciones propuestas</w:t>
            </w:r>
          </w:p>
        </w:tc>
        <w:tc>
          <w:tcPr>
            <w:tcW w:type="dxa" w:w="726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CAPTCHA y rate limiting en registro (Req. 8), verificación de identidad (correo/teléfono/documento), detección de patrones de registro anómalos.</w:t>
            </w:r>
          </w:p>
        </w:tc>
      </w:tr>
    </w:tbl>
    <w:p>
      <w:pPr>
        <w:spacing w:after="0" w:before="0" w:line="480" w:lineRule="auto"/>
      </w:pP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Prueba de riesgo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Probabilidad (1-5)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Impacto (1-5)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Nivel de riesgo (P x I)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shd w:fill="BF8F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Medio</w:t>
            </w:r>
          </w:p>
        </w:tc>
      </w:tr>
    </w:tbl>
    <w:p>
      <w:pPr>
        <w:spacing w:after="0" w:line="480" w:lineRule="auto" w:before="0"/>
      </w:pPr>
    </w:p>
    <w:p>
      <w:pPr>
        <w:spacing w:line="480" w:lineRule="auto" w:before="0" w:after="0"/>
      </w:pPr>
      <w:r>
        <w:rPr>
          <w:rFonts w:ascii="Times New Roman" w:hAnsi="Times New Roman" w:cs="Times New Roman"/>
          <w:color w:val="000000"/>
          <w:sz w:val="24"/>
        </w:rPr>
        <w:br w:type="page"/>
      </w:r>
    </w:p>
    <w:p>
      <w:pPr>
        <w:pStyle w:val="Heading1"/>
        <w:spacing w:after="0" w:before="0" w:line="480" w:lineRule="auto"/>
      </w:pP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Gestión de Riesgos en Seguridad</w:t>
      </w:r>
    </w:p>
    <w:p>
      <w:pPr>
        <w:spacing w:after="0" w:line="480" w:lineRule="auto" w:before="0"/>
        <w:jc w:val="both"/>
      </w:pPr>
      <w:r>
        <w:rPr>
          <w:rFonts w:ascii="Times New Roman" w:hAnsi="Times New Roman" w:cs="Times New Roman"/>
          <w:color w:val="000000"/>
          <w:sz w:val="24"/>
        </w:rPr>
        <w:t xml:space="preserve">Para priorizar los riesgos se utilizó una matriz cualitativa de Probabilidad x Impacto, con escala de 1 (muy bajo) a 5 (muy alto) en cada eje. El nivel de riesgo resulta de multiplicar ambos valores y se clasifica así:</w:t>
      </w:r>
    </w:p>
    <w:p>
      <w:pPr>
        <w:pStyle w:val="ListParagraph"/>
        <w:numPr>
          <w:ilvl w:val="0"/>
          <w:numId w:val="1"/>
        </w:numPr>
        <w:spacing w:after="0" w:line="480" w:lineRule="auto" w:before="0"/>
      </w:pPr>
      <w:r>
        <w:rPr>
          <w:rFonts w:ascii="Times New Roman" w:hAnsi="Times New Roman" w:cs="Times New Roman"/>
          <w:color w:val="000000"/>
          <w:sz w:val="24"/>
        </w:rPr>
        <w:t xml:space="preserve">1 – 5: Riesgo Bajo</w:t>
      </w:r>
    </w:p>
    <w:p>
      <w:pPr>
        <w:pStyle w:val="ListParagraph"/>
        <w:numPr>
          <w:ilvl w:val="0"/>
          <w:numId w:val="1"/>
        </w:numPr>
        <w:spacing w:after="0" w:line="480" w:lineRule="auto" w:before="0"/>
      </w:pPr>
      <w:r>
        <w:rPr>
          <w:rFonts w:ascii="Times New Roman" w:hAnsi="Times New Roman" w:cs="Times New Roman"/>
          <w:color w:val="000000"/>
          <w:sz w:val="24"/>
        </w:rPr>
        <w:t xml:space="preserve">6 – 12: Riesgo Medio</w:t>
      </w:r>
    </w:p>
    <w:p>
      <w:pPr>
        <w:pStyle w:val="ListParagraph"/>
        <w:numPr>
          <w:ilvl w:val="0"/>
          <w:numId w:val="1"/>
        </w:numPr>
        <w:spacing w:after="0" w:line="480" w:lineRule="auto" w:before="0"/>
      </w:pPr>
      <w:r>
        <w:rPr>
          <w:rFonts w:ascii="Times New Roman" w:hAnsi="Times New Roman" w:cs="Times New Roman"/>
          <w:color w:val="000000"/>
          <w:sz w:val="24"/>
        </w:rPr>
        <w:t xml:space="preserve">13 – 19: Riesgo Alto</w:t>
      </w:r>
    </w:p>
    <w:p>
      <w:pPr>
        <w:pStyle w:val="ListParagraph"/>
        <w:numPr>
          <w:ilvl w:val="0"/>
          <w:numId w:val="1"/>
        </w:numPr>
        <w:spacing w:after="0" w:line="480" w:lineRule="auto" w:before="0"/>
      </w:pPr>
      <w:r>
        <w:rPr>
          <w:rFonts w:ascii="Times New Roman" w:hAnsi="Times New Roman" w:cs="Times New Roman"/>
          <w:color w:val="000000"/>
          <w:sz w:val="24"/>
        </w:rPr>
        <w:t xml:space="preserve">20 – 25: Riesgo Crítico</w:t>
      </w:r>
    </w:p>
    <w:p>
      <w:pPr>
        <w:spacing w:after="0" w:line="480" w:lineRule="auto" w:before="0"/>
        <w:jc w:val="both"/>
      </w:pPr>
      <w:r>
        <w:rPr>
          <w:rFonts w:ascii="Times New Roman" w:hAnsi="Times New Roman" w:cs="Times New Roman"/>
          <w:color w:val="000000"/>
          <w:sz w:val="24"/>
        </w:rPr>
        <w:t xml:space="preserve">La siguiente tabla consolida la evaluación de riesgo de los 10 casos de abuso: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"/>
        <w:gridCol w:w="3712"/>
        <w:gridCol w:w="807"/>
        <w:gridCol w:w="807"/>
        <w:gridCol w:w="1211"/>
        <w:gridCol w:w="2421"/>
      </w:tblGrid>
      <w:tr>
        <w:trPr>
          <w:tblHeader/>
        </w:trPr>
        <w:tc>
          <w:tcPr>
            <w:tcW w:type="dxa" w:w="40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71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Caso de abuso</w:t>
            </w:r>
          </w:p>
        </w:tc>
        <w:tc>
          <w:tcPr>
            <w:tcW w:type="dxa" w:w="80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80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1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42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40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7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Fuerza bruta de credenciales</w:t>
            </w:r>
          </w:p>
        </w:tc>
        <w:tc>
          <w:tcPr>
            <w:tcW w:type="dxa" w:w="807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7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1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421"/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40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712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Robo de sesión / token JWT (session hijacking)</w:t>
            </w:r>
          </w:p>
        </w:tc>
        <w:tc>
          <w:tcPr>
            <w:tcW w:type="dxa" w:w="807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7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11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421"/>
            <w:shd w:fill="BF8F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40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7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Inyección SQL en formulario de perfil</w:t>
            </w:r>
          </w:p>
        </w:tc>
        <w:tc>
          <w:tcPr>
            <w:tcW w:type="dxa" w:w="807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7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1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421"/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40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712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Manipulación de datos socioeconómicos propios</w:t>
            </w:r>
          </w:p>
        </w:tc>
        <w:tc>
          <w:tcPr>
            <w:tcW w:type="dxa" w:w="807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7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11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421"/>
            <w:shd w:fill="BF8F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40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7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Ataque de Denegación de Servicio (DDoS) a la API</w:t>
            </w:r>
          </w:p>
        </w:tc>
        <w:tc>
          <w:tcPr>
            <w:tcW w:type="dxa" w:w="807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7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1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421"/>
            <w:shd w:fill="BF8F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40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712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Acceso indebido a perfiles ajenos (IDOR)</w:t>
            </w:r>
          </w:p>
        </w:tc>
        <w:tc>
          <w:tcPr>
            <w:tcW w:type="dxa" w:w="807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7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11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421"/>
            <w:shd w:fill="BF8F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40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7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Phishing dirigido a usuarios vulnerables</w:t>
            </w:r>
          </w:p>
        </w:tc>
        <w:tc>
          <w:tcPr>
            <w:tcW w:type="dxa" w:w="807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7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1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421"/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40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712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Filtración/exfiltración de la base de datos</w:t>
            </w:r>
          </w:p>
        </w:tc>
        <w:tc>
          <w:tcPr>
            <w:tcW w:type="dxa" w:w="807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7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11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421"/>
            <w:shd w:fill="BF8F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40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7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Envenenamiento del motor de recomendación (data poisoning)</w:t>
            </w:r>
          </w:p>
        </w:tc>
        <w:tc>
          <w:tcPr>
            <w:tcW w:type="dxa" w:w="807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7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1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421"/>
            <w:shd w:fill="BF8F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40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712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Registro masivo de cuentas falsas (bots)</w:t>
            </w:r>
          </w:p>
        </w:tc>
        <w:tc>
          <w:tcPr>
            <w:tcW w:type="dxa" w:w="807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7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11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21"/>
            <w:shd w:fill="BF8F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Medio</w:t>
            </w:r>
          </w:p>
        </w:tc>
      </w:tr>
    </w:tbl>
    <w:p>
      <w:pPr>
        <w:spacing w:after="0" w:line="480" w:lineRule="auto" w:before="0"/>
      </w:pPr>
    </w:p>
    <w:p>
      <w:pPr>
        <w:pStyle w:val="Heading2"/>
        <w:spacing w:after="0" w:before="0" w:line="480" w:lineRule="auto"/>
      </w:pP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Plan de mitigación general</w:t>
      </w:r>
    </w:p>
    <w:p>
      <w:pPr>
        <w:spacing w:after="0" w:line="480" w:lineRule="auto" w:before="0"/>
        <w:jc w:val="both"/>
      </w:pPr>
      <w:r>
        <w:rPr>
          <w:rFonts w:ascii="Times New Roman" w:hAnsi="Times New Roman" w:cs="Times New Roman"/>
          <w:color w:val="000000"/>
          <w:sz w:val="24"/>
        </w:rPr>
        <w:t xml:space="preserve">La estrategia de tratamiento adoptada para todos los riesgos identificados es MITIGAR: reducir tanto la probabilidad como el impacto mediante controles preventivos (autenticación segura, validación de entradas, cifrado, RBAC) y controles detectivos (monitoreo de logs, alertas de anomalías, auditoría de datos). Los riesgos clasificados como Altos (fuerza bruta, inyección SQL y phishing) deben priorizarse en la primera iteración de implementación de controles, dado su mayor potencial combinado de probabilidad e impacto sobre la confidencialidad e integridad de los datos de una población vulnerable.</w:t>
      </w:r>
    </w:p>
    <w:p>
      <w:pPr>
        <w:pStyle w:val="Heading1"/>
        <w:spacing w:after="0" w:before="0" w:line="480" w:lineRule="auto"/>
      </w:pP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Conclusiones</w:t>
      </w:r>
    </w:p>
    <w:p>
      <w:pPr>
        <w:pStyle w:val="ListParagraph"/>
        <w:numPr>
          <w:ilvl w:val="0"/>
          <w:numId w:val="1"/>
        </w:numPr>
        <w:spacing w:after="0" w:line="480" w:lineRule="auto" w:before="0"/>
      </w:pPr>
      <w:r>
        <w:rPr>
          <w:rFonts w:ascii="Times New Roman" w:hAnsi="Times New Roman" w:cs="Times New Roman"/>
          <w:color w:val="000000"/>
          <w:sz w:val="24"/>
        </w:rPr>
        <w:t xml:space="preserve">La mayoría de los riesgos identificados están relacionados con la protección de datos personales y socioeconómicos, coherente con la naturaleza sensible de la información que maneja InclusiveAI.</w:t>
      </w:r>
    </w:p>
    <w:p>
      <w:pPr>
        <w:pStyle w:val="ListParagraph"/>
        <w:numPr>
          <w:ilvl w:val="0"/>
          <w:numId w:val="1"/>
        </w:numPr>
        <w:spacing w:after="0" w:line="480" w:lineRule="auto" w:before="0"/>
      </w:pPr>
      <w:r>
        <w:rPr>
          <w:rFonts w:ascii="Times New Roman" w:hAnsi="Times New Roman" w:cs="Times New Roman"/>
          <w:color w:val="000000"/>
          <w:sz w:val="24"/>
        </w:rPr>
        <w:t xml:space="preserve">Los casos de abuso 1, 3 y 7 (fuerza bruta, inyección SQL y phishing) representan el mayor riesgo y deben mitigarse de forma prioritaria.</w:t>
      </w:r>
    </w:p>
    <w:p>
      <w:pPr>
        <w:pStyle w:val="ListParagraph"/>
        <w:numPr>
          <w:ilvl w:val="0"/>
          <w:numId w:val="1"/>
        </w:numPr>
        <w:spacing w:after="0" w:line="480" w:lineRule="auto" w:before="0"/>
      </w:pPr>
      <w:r>
        <w:rPr>
          <w:rFonts w:ascii="Times New Roman" w:hAnsi="Times New Roman" w:cs="Times New Roman"/>
          <w:color w:val="000000"/>
          <w:sz w:val="24"/>
        </w:rPr>
        <w:t xml:space="preserve">Los casos 9 y 4 (envenenamiento de datos y manipulación de elegibilidad) son especialmente relevantes para el ODS 10, pues afectan directamente la equidad en la asignación de recursos a poblaciones vulnerables.</w:t>
      </w:r>
    </w:p>
    <w:p>
      <w:pPr>
        <w:pStyle w:val="ListParagraph"/>
        <w:numPr>
          <w:ilvl w:val="0"/>
          <w:numId w:val="1"/>
        </w:numPr>
        <w:spacing w:after="0" w:line="480" w:lineRule="auto" w:before="0"/>
      </w:pPr>
      <w:r>
        <w:rPr>
          <w:rFonts w:ascii="Times New Roman" w:hAnsi="Times New Roman" w:cs="Times New Roman"/>
          <w:color w:val="000000"/>
          <w:sz w:val="24"/>
        </w:rPr>
        <w:t xml:space="preserve">La implementación de los 11 requisitos de seguridad definidos mitiga de forma directa la totalidad de los casos de abuso documentados.</w:t>
      </w:r>
    </w:p>
    <w:p>
      <w:pPr>
        <w:spacing w:line="480" w:lineRule="auto" w:before="0" w:after="0"/>
      </w:pPr>
      <w:r>
        <w:rPr>
          <w:rFonts w:ascii="Times New Roman" w:hAnsi="Times New Roman" w:cs="Times New Roman"/>
          <w:color w:val="000000"/>
          <w:sz w:val="24"/>
        </w:rPr>
        <w:br w:type="page"/>
      </w:r>
    </w:p>
    <w:p>
      <w:pPr>
        <w:pStyle w:val="Heading1"/>
        <w:spacing w:after="0" w:before="0" w:line="480" w:lineRule="auto"/>
        <w:jc w:val="center"/>
      </w:pP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Referencias</w:t>
      </w:r>
    </w:p>
    <w:p>
      <w:pPr>
        <w:spacing w:after="0" w:line="480" w:lineRule="auto" w:before="0"/>
        <w:ind w:left="720" w:hanging="720"/>
      </w:pPr>
      <w:r>
        <w:rPr>
          <w:rFonts w:ascii="Times New Roman" w:hAnsi="Times New Roman" w:cs="Times New Roman"/>
          <w:color w:val="000000"/>
          <w:sz w:val="24"/>
        </w:rPr>
        <w:t xml:space="preserve">NIST. (2012). Guide for Conducting Risk Assessments (SP 800-30 Rev. 1). National Institute of Standards and Technology.</w:t>
      </w:r>
    </w:p>
    <w:p>
      <w:pPr>
        <w:spacing w:after="0" w:line="480" w:lineRule="auto" w:before="0"/>
        <w:ind w:left="720" w:hanging="720"/>
      </w:pPr>
      <w:r>
        <w:rPr>
          <w:rFonts w:ascii="Times New Roman" w:hAnsi="Times New Roman" w:cs="Times New Roman"/>
          <w:color w:val="000000"/>
          <w:sz w:val="24"/>
        </w:rPr>
        <w:t>OWASP Foundation. (s.f.). Abuse Case. https://owasp.org/www-community/Abuse_Case</w:t>
      </w:r>
    </w:p>
    <w:p>
      <w:pPr>
        <w:spacing w:after="0" w:line="480" w:lineRule="auto" w:before="0"/>
        <w:ind w:left="720" w:hanging="720"/>
      </w:pPr>
      <w:r>
        <w:rPr>
          <w:rFonts w:ascii="Times New Roman" w:hAnsi="Times New Roman" w:cs="Times New Roman"/>
          <w:color w:val="000000"/>
          <w:sz w:val="24"/>
        </w:rPr>
        <w:t>OWASP Foundation. (s.f.). OWASP Risk Rating Methodology. https://owasp.org/www-community/OWASP_Risk_Rating_Methodology</w:t>
      </w:r>
    </w:p>
    <w:sectPr>
      <w:head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000000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jc w:val="center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jc w:val="left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a5bdd2a8adc7b9fdc55d7ce5d6a7ed303148a9f.png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2026-09-11T21:23:10.266Z</dcterms:created>
  <dcterms:modified xsi:type="dcterms:W3CDTF">2026-09-11T21:23:10.267Z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