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14DB" w14:textId="77777777" w:rsidR="00197C0E" w:rsidRDefault="00F61EE7">
      <w:pPr>
        <w:pStyle w:val="Corpodetexto"/>
        <w:ind w:left="21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AD114E9" wp14:editId="7AD114EA">
            <wp:extent cx="3024228" cy="7818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228" cy="7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14DC" w14:textId="77777777" w:rsidR="00197C0E" w:rsidRDefault="00197C0E">
      <w:pPr>
        <w:pStyle w:val="Corpodetexto"/>
        <w:spacing w:before="6"/>
        <w:rPr>
          <w:rFonts w:ascii="Times New Roman"/>
          <w:sz w:val="28"/>
        </w:rPr>
      </w:pPr>
    </w:p>
    <w:p w14:paraId="7AD114DD" w14:textId="77777777" w:rsidR="00197C0E" w:rsidRDefault="00F61EE7">
      <w:pPr>
        <w:pStyle w:val="Ttulo"/>
      </w:pPr>
      <w:r>
        <w:rPr>
          <w:color w:val="585858"/>
        </w:rPr>
        <w:t>MODELO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PARA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ENTREGA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DAS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ATIVIDADES</w:t>
      </w:r>
    </w:p>
    <w:p w14:paraId="7AD114DE" w14:textId="77777777" w:rsidR="00197C0E" w:rsidRDefault="00197C0E">
      <w:pPr>
        <w:pStyle w:val="Corpodetexto"/>
        <w:spacing w:before="108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250"/>
        <w:gridCol w:w="5250"/>
      </w:tblGrid>
      <w:tr w:rsidR="00197C0E" w14:paraId="7AD114E1" w14:textId="77777777">
        <w:trPr>
          <w:trHeight w:val="460"/>
        </w:trPr>
        <w:tc>
          <w:tcPr>
            <w:tcW w:w="3250" w:type="dxa"/>
            <w:tcBorders>
              <w:left w:val="nil"/>
            </w:tcBorders>
          </w:tcPr>
          <w:p w14:paraId="7AD114DF" w14:textId="77777777" w:rsidR="00197C0E" w:rsidRDefault="00F61EE7">
            <w:pPr>
              <w:pStyle w:val="TableParagraph"/>
              <w:spacing w:before="118"/>
              <w:ind w:right="91"/>
              <w:jc w:val="right"/>
              <w:rPr>
                <w:sz w:val="20"/>
              </w:rPr>
            </w:pPr>
            <w:r>
              <w:rPr>
                <w:color w:val="585858"/>
                <w:sz w:val="20"/>
              </w:rPr>
              <w:t>COMPONENTE</w:t>
            </w:r>
            <w:r>
              <w:rPr>
                <w:color w:val="585858"/>
                <w:spacing w:val="-10"/>
                <w:sz w:val="20"/>
              </w:rPr>
              <w:t xml:space="preserve"> </w:t>
            </w:r>
            <w:r>
              <w:rPr>
                <w:color w:val="585858"/>
                <w:spacing w:val="-2"/>
                <w:sz w:val="20"/>
              </w:rPr>
              <w:t>CURRICULAR:</w:t>
            </w:r>
          </w:p>
        </w:tc>
        <w:tc>
          <w:tcPr>
            <w:tcW w:w="5250" w:type="dxa"/>
            <w:tcBorders>
              <w:right w:val="nil"/>
            </w:tcBorders>
          </w:tcPr>
          <w:p w14:paraId="7AD114E0" w14:textId="04C39858" w:rsidR="00197C0E" w:rsidRPr="00650F68" w:rsidRDefault="00197C0E">
            <w:pPr>
              <w:pStyle w:val="TableParagraph"/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PROJETO APLICADO I – GRUPO 19</w:t>
            </w:r>
          </w:p>
        </w:tc>
      </w:tr>
      <w:tr w:rsidR="00197C0E" w14:paraId="7AD114E4" w14:textId="77777777">
        <w:trPr>
          <w:trHeight w:val="459"/>
        </w:trPr>
        <w:tc>
          <w:tcPr>
            <w:tcW w:w="3250" w:type="dxa"/>
            <w:tcBorders>
              <w:left w:val="nil"/>
            </w:tcBorders>
          </w:tcPr>
          <w:p w14:paraId="7AD114E2" w14:textId="77777777" w:rsidR="00197C0E" w:rsidRDefault="00F61EE7">
            <w:pPr>
              <w:pStyle w:val="TableParagraph"/>
              <w:spacing w:before="118"/>
              <w:ind w:right="91"/>
              <w:jc w:val="right"/>
              <w:rPr>
                <w:sz w:val="20"/>
              </w:rPr>
            </w:pPr>
            <w:r>
              <w:rPr>
                <w:color w:val="585858"/>
                <w:sz w:val="20"/>
              </w:rPr>
              <w:t>NOME</w:t>
            </w:r>
            <w:r>
              <w:rPr>
                <w:color w:val="585858"/>
                <w:spacing w:val="-6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COMPLETO</w:t>
            </w:r>
            <w:r>
              <w:rPr>
                <w:color w:val="585858"/>
                <w:spacing w:val="-6"/>
                <w:sz w:val="20"/>
              </w:rPr>
              <w:t xml:space="preserve"> </w:t>
            </w:r>
            <w:r>
              <w:rPr>
                <w:color w:val="585858"/>
                <w:sz w:val="20"/>
              </w:rPr>
              <w:t>DO</w:t>
            </w:r>
            <w:r>
              <w:rPr>
                <w:color w:val="585858"/>
                <w:spacing w:val="-5"/>
                <w:sz w:val="20"/>
              </w:rPr>
              <w:t xml:space="preserve"> </w:t>
            </w:r>
            <w:r>
              <w:rPr>
                <w:color w:val="585858"/>
                <w:spacing w:val="-2"/>
                <w:sz w:val="20"/>
              </w:rPr>
              <w:t>ALUNO:</w:t>
            </w:r>
          </w:p>
        </w:tc>
        <w:tc>
          <w:tcPr>
            <w:tcW w:w="5250" w:type="dxa"/>
            <w:tcBorders>
              <w:right w:val="nil"/>
            </w:tcBorders>
          </w:tcPr>
          <w:p w14:paraId="7AD114E3" w14:textId="7E002FD3" w:rsidR="00197C0E" w:rsidRDefault="00650F68">
            <w:pPr>
              <w:pStyle w:val="TableParagraph"/>
              <w:spacing w:before="60" w:after="60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ALLAN RAFAEL BASILIO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WILLIAM OSHIRO CORREA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WASHINGTON VENANCIO JUNIOR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PEDRO MANTOVANNI JUNIOR</w:t>
            </w:r>
          </w:p>
        </w:tc>
      </w:tr>
      <w:tr w:rsidR="00197C0E" w14:paraId="7AD114E7" w14:textId="77777777">
        <w:trPr>
          <w:trHeight w:val="460"/>
        </w:trPr>
        <w:tc>
          <w:tcPr>
            <w:tcW w:w="3250" w:type="dxa"/>
            <w:tcBorders>
              <w:left w:val="nil"/>
              <w:bottom w:val="single" w:sz="24" w:space="0" w:color="C43333"/>
            </w:tcBorders>
          </w:tcPr>
          <w:p w14:paraId="7AD114E5" w14:textId="77777777" w:rsidR="00197C0E" w:rsidRDefault="00F61EE7">
            <w:pPr>
              <w:pStyle w:val="TableParagraph"/>
              <w:spacing w:before="118"/>
              <w:ind w:right="91"/>
              <w:jc w:val="right"/>
              <w:rPr>
                <w:sz w:val="20"/>
              </w:rPr>
            </w:pPr>
            <w:r>
              <w:rPr>
                <w:color w:val="585858"/>
                <w:spacing w:val="-5"/>
                <w:sz w:val="20"/>
              </w:rPr>
              <w:t>RA:</w:t>
            </w:r>
          </w:p>
        </w:tc>
        <w:tc>
          <w:tcPr>
            <w:tcW w:w="5250" w:type="dxa"/>
            <w:tcBorders>
              <w:bottom w:val="single" w:sz="24" w:space="0" w:color="C43333"/>
              <w:right w:val="nil"/>
            </w:tcBorders>
          </w:tcPr>
          <w:p w14:paraId="7AD114E6" w14:textId="11985E8E" w:rsidR="00197C0E" w:rsidRPr="004E7CF2" w:rsidRDefault="004E7CF2">
            <w:pPr>
              <w:pStyle w:val="TableParagraph"/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10782175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10219078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10780580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10420649</w:t>
            </w:r>
          </w:p>
        </w:tc>
      </w:tr>
    </w:tbl>
    <w:p>
      <w:pPr>
        <w:spacing w:before="0" w:after="0" w:line="360" w:lineRule="auto"/>
        <w:jc w:val="both"/>
      </w:pPr>
    </w:p>
    <w:p>
      <w:pPr>
        <w:spacing w:before="0" w:after="120" w:line="360" w:lineRule="auto"/>
        <w:jc w:val="left"/>
      </w:pPr>
      <w:r>
        <w:rPr>
          <w:rFonts w:ascii="Arial" w:hAnsi="Arial" w:cs="Arial"/>
          <w:b/>
          <w:i w:val="0"/>
          <w:sz w:val="22"/>
        </w:rPr>
        <w:t>Título:</w:t>
      </w:r>
      <w:r>
        <w:rPr>
          <w:rFonts w:ascii="Arial" w:hAnsi="Arial" w:cs="Arial"/>
          <w:b w:val="0"/>
          <w:i w:val="0"/>
          <w:sz w:val="22"/>
        </w:rPr>
        <w:t xml:space="preserve"> Análise da Correlação entre Faturamento e Emissões de GEE na OceanPact (ODS 13)</w:t>
      </w:r>
    </w:p>
    <w:p>
      <w:pPr>
        <w:spacing w:before="0" w:after="120" w:line="360" w:lineRule="auto"/>
        <w:jc w:val="left"/>
      </w:pPr>
      <w:r>
        <w:rPr>
          <w:rFonts w:ascii="Arial" w:hAnsi="Arial" w:cs="Arial"/>
          <w:b/>
          <w:i w:val="0"/>
          <w:sz w:val="22"/>
        </w:rPr>
        <w:t>Etapa 2:</w:t>
      </w:r>
      <w:r>
        <w:rPr>
          <w:rFonts w:ascii="Arial" w:hAnsi="Arial" w:cs="Arial"/>
          <w:b w:val="0"/>
          <w:i w:val="0"/>
          <w:sz w:val="22"/>
        </w:rPr>
        <w:t xml:space="preserve"> Proposta de solução analítica e análise exploratória de dados</w:t>
      </w:r>
    </w:p>
    <w:p>
      <w:pPr>
        <w:spacing w:before="0" w:after="120" w:line="360" w:lineRule="auto"/>
        <w:jc w:val="left"/>
      </w:pPr>
      <w:r>
        <w:rPr>
          <w:rFonts w:ascii="Arial" w:hAnsi="Arial" w:cs="Arial"/>
          <w:b/>
          <w:i w:val="0"/>
          <w:sz w:val="22"/>
        </w:rPr>
        <w:t>Professor:</w:t>
      </w:r>
      <w:r>
        <w:rPr>
          <w:rFonts w:ascii="Arial" w:hAnsi="Arial" w:cs="Arial"/>
          <w:b w:val="0"/>
          <w:i w:val="0"/>
          <w:sz w:val="22"/>
        </w:rPr>
        <w:t xml:space="preserve"> Fabio Lopes</w:t>
      </w:r>
    </w:p>
    <w:p>
      <w:pPr>
        <w:spacing w:before="0" w:after="40" w:line="360" w:lineRule="auto"/>
        <w:jc w:val="left"/>
      </w:pPr>
      <w:r>
        <w:rPr>
          <w:rFonts w:ascii="Arial" w:hAnsi="Arial" w:cs="Arial"/>
          <w:b/>
          <w:i w:val="0"/>
          <w:sz w:val="22"/>
        </w:rPr>
        <w:t>Grupo:</w:t>
      </w:r>
      <w:r>
        <w:rPr>
          <w:rFonts w:ascii="Arial" w:hAnsi="Arial" w:cs="Arial"/>
          <w:b w:val="0"/>
          <w:i w:val="0"/>
          <w:sz w:val="22"/>
        </w:rPr>
        <w:t xml:space="preserve"> 19</w:t>
      </w:r>
    </w:p>
    <w:p>
      <w:pPr>
        <w:spacing w:before="0" w:after="40" w:line="360" w:lineRule="auto"/>
        <w:jc w:val="left"/>
      </w:pPr>
      <w:r>
        <w:rPr>
          <w:rFonts w:ascii="Arial" w:hAnsi="Arial" w:cs="Arial"/>
          <w:b/>
          <w:i w:val="0"/>
          <w:sz w:val="22"/>
        </w:rPr>
        <w:t>Integrantes: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10782175 – Allan Rafael Basilio (10782175@mackenzista.com.br)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10219078 – William Oshiro Correa (10219078@mackenzista.com.br)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10780580 – Washington Venancio Junior (10780580@mackenzista.com.br)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10420649 – Pedro Mantovanni Junior (10420649@mackenzista.com.br)</w:t>
      </w:r>
    </w:p>
    <w:p>
      <w:pPr>
        <w:spacing w:before="160" w:after="120" w:line="360" w:lineRule="auto"/>
        <w:jc w:val="left"/>
      </w:pPr>
      <w:r>
        <w:rPr>
          <w:rFonts w:ascii="Arial" w:hAnsi="Arial" w:cs="Arial"/>
          <w:b/>
          <w:i w:val="0"/>
          <w:sz w:val="22"/>
        </w:rPr>
        <w:t>Repositório (GitHub):</w:t>
      </w:r>
      <w:r>
        <w:rPr>
          <w:rFonts w:ascii="Arial" w:hAnsi="Arial" w:cs="Arial"/>
          <w:b w:val="0"/>
          <w:i w:val="0"/>
          <w:sz w:val="22"/>
        </w:rPr>
        <w:t xml:space="preserve"> https://github.com/WOODPECKER153/Faculdade-Mackenzie/tree/main/Projeto-Aplicado-I</w:t>
      </w:r>
    </w:p>
    <w:p>
      <w:r>
        <w:br w:type="page"/>
      </w: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SUMÁRIO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/>
          <w:i w:val="0"/>
          <w:sz w:val="22"/>
        </w:rPr>
        <w:t>Glossário</w:t>
        <w:tab/>
        <w:t>3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/>
          <w:i w:val="0"/>
          <w:sz w:val="22"/>
        </w:rPr>
        <w:t>1. Objetivo de estudo</w:t>
        <w:tab/>
        <w:t>3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/>
          <w:i w:val="0"/>
          <w:sz w:val="22"/>
        </w:rPr>
        <w:t>2. Apresentação da empresa</w:t>
        <w:tab/>
        <w:t>4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/>
          <w:i w:val="0"/>
          <w:sz w:val="22"/>
        </w:rPr>
        <w:t>3. Problema de pesquisa</w:t>
        <w:tab/>
        <w:t>5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/>
          <w:i w:val="0"/>
          <w:sz w:val="22"/>
        </w:rPr>
        <w:t>4. Metadados</w:t>
        <w:tab/>
        <w:t>6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/>
          <w:i w:val="0"/>
          <w:sz w:val="22"/>
        </w:rPr>
        <w:t>5. Análise exploratória de dados</w:t>
        <w:tab/>
        <w:t>6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 w:val="0"/>
          <w:i w:val="0"/>
          <w:sz w:val="22"/>
        </w:rPr>
        <w:t xml:space="preserve">   5.1 Dimensões e tipos de dados</w:t>
        <w:tab/>
        <w:t>6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 w:val="0"/>
          <w:i w:val="0"/>
          <w:sz w:val="22"/>
        </w:rPr>
        <w:t xml:space="preserve">   5.2 Valores ausentes</w:t>
        <w:tab/>
        <w:t>7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 w:val="0"/>
          <w:i w:val="0"/>
          <w:sz w:val="22"/>
        </w:rPr>
        <w:t xml:space="preserve">   5.3 Medidas de posição e dispersão</w:t>
        <w:tab/>
        <w:t>7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 w:val="0"/>
          <w:i w:val="0"/>
          <w:sz w:val="22"/>
        </w:rPr>
        <w:t xml:space="preserve">   5.4 Distribuição e frequência</w:t>
        <w:tab/>
        <w:t>8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 w:val="0"/>
          <w:i w:val="0"/>
          <w:sz w:val="22"/>
        </w:rPr>
        <w:t xml:space="preserve">   5.5 Correlações</w:t>
        <w:tab/>
        <w:t>8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 w:val="0"/>
          <w:i w:val="0"/>
          <w:sz w:val="22"/>
        </w:rPr>
        <w:t xml:space="preserve">   5.6 Anomalias e outliers</w:t>
        <w:tab/>
        <w:t>10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/>
          <w:i w:val="0"/>
          <w:sz w:val="22"/>
        </w:rPr>
        <w:t>6. Considerações e próximos passos</w:t>
        <w:tab/>
        <w:t>11</w:t>
      </w:r>
    </w:p>
    <w:p>
      <w:pPr>
        <w:tabs>
          <w:tab w:pos="8731" w:val="right" w:leader="dot"/>
        </w:tabs>
        <w:spacing w:after="40" w:line="360" w:lineRule="auto"/>
      </w:pPr>
      <w:r>
        <w:rPr>
          <w:rFonts w:ascii="Arial" w:hAnsi="Arial" w:cs="Arial"/>
          <w:b/>
          <w:i w:val="0"/>
          <w:sz w:val="22"/>
        </w:rPr>
        <w:t>Referências</w:t>
        <w:tab/>
        <w:t>11</w:t>
      </w:r>
    </w:p>
    <w:p>
      <w:r>
        <w:br w:type="page"/>
      </w: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GLOSSÁRIO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381"/>
        <w:gridCol w:w="6350"/>
      </w:tblGrid>
      <w:tr>
        <w:tc>
          <w:tcPr>
            <w:tcW w:type="dxa" w:w="2381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8"/>
              </w:rPr>
              <w:t>Termo</w:t>
            </w:r>
          </w:p>
        </w:tc>
        <w:tc>
          <w:tcPr>
            <w:tcW w:type="dxa" w:w="6350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8"/>
              </w:rPr>
              <w:t>Definição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AED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Análise Exploratória de Dados: uso de estatística descritiva e gráficos para resumir as principais características de um conjunto de dados.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ASG (ESG)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Ambiental, Social e Governança: critérios de sustentabilidade usados para avaliar empresas.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CDP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Carbon Disclosure Project: organização que avalia a transparência e a gestão climática das empresas (nota de A a D-).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Coeficiente de variação (CV)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Desvio-padrão dividido pela média, em %. Mede a dispersão relativa.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Correlação de Pearson / Spearman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Medidas de associação entre duas variáveis, de -1 a +1. Pearson mede a relação linear, e Spearman, a relação de ordem (postos).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EBITDA ajustado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Lucro antes de juros, impostos, depreciação e amortização, excluindo efeitos não recorrentes.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Escopo 1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Emissões diretas de fontes da própria empresa, como a queima de diesel nas embarcações.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Escopo 2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Emissões indiretas da energia elétrica comprada.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Escopo 3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Demais emissões indiretas da cadeia de valor (fornecedores, embarcações afretadas, ativos arrendados etc.).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GEE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Gases de Efeito Estufa (CO₂, CH₄, N₂O e outros).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GHG Protocol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Metodologia internacional para inventários de emissões de GEE.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Intensidade de emissões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Emissões divididas por uma medida de atividade. Neste estudo: tCO₂e por R$ milhão de receita líquida.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Metadados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Dados que descrevem um conjunto de dados: origem, formato, validade, responsável, atributos.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ODS 13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Objetivo de Desenvolvimento Sustentável 13 da Agenda 2030 da ONU: ação contra a mudança global do clima.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OSRV / PSV / RSV / AHTS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Tipos de embarcações de apoio offshore: resposta a derramamento de óleo, suprimento, apoio a ROV e manuseio de âncoras.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ROV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Veículo submarino operado remotamente.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Shore power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Fornecimento de energia elétrica de terra para a embarcação atracada, evitando o uso de geradores a diesel.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Taxa de ocupação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Percentual do tempo em que a frota esteve contratada e operando.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tCO₂e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Toneladas de CO₂ equivalente: unidade que converte todos os GEE pelo seu potencial de aquecimento.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TRIR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Taxa de lesões registráveis por 1 milhão de horas trabalhadas.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z-score / IQR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Critérios estatísticos de detecção de valores extremos (distância à média em desvios-padrão / intervalo interquartil).</w:t>
            </w:r>
          </w:p>
        </w:tc>
      </w:tr>
    </w:tbl>
    <w:p>
      <w:pPr>
        <w:spacing w:before="0" w:after="40" w:line="240" w:lineRule="auto"/>
        <w:jc w:val="both"/>
      </w:pP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1. OBJETIVO DE ESTUDO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/>
          <w:i w:val="0"/>
          <w:sz w:val="22"/>
        </w:rPr>
        <w:t>Objetivo geral:</w:t>
      </w:r>
      <w:r>
        <w:rPr>
          <w:rFonts w:ascii="Arial" w:hAnsi="Arial" w:cs="Arial"/>
          <w:b w:val="0"/>
          <w:i w:val="0"/>
          <w:sz w:val="22"/>
        </w:rPr>
        <w:t xml:space="preserve"> verificar se o crescimento financeiro da OceanPact entre 2021 e 2025 vem acompanhado de redução da intensidade de emissões de Gases de Efeito Estufa. A intensidade é medida em tCO₂e por R$ milhão de receita líquida. A análise avalia o alinhamento das operações da empresa ao ODS 13 (Ação contra a mudança global do clima).</w:t>
      </w:r>
    </w:p>
    <w:p>
      <w:pPr>
        <w:spacing w:before="0" w:after="40" w:line="360" w:lineRule="auto"/>
        <w:jc w:val="both"/>
      </w:pPr>
      <w:r>
        <w:rPr>
          <w:rFonts w:ascii="Arial" w:hAnsi="Arial" w:cs="Arial"/>
          <w:b/>
          <w:i w:val="0"/>
          <w:sz w:val="22"/>
        </w:rPr>
        <w:t>Objetivos específicos: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estruturar uma base de dados única, em CSV, com indicadores financeiros e de emissões a partir de fontes públicas;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descrever, por estatística descritiva, o comportamento da receita e das emissões por escopo e por unidade operacional;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medir a associação entre receita, consumo de energia, ocupação da frota e emissões;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recalcular a intensidade de emissões e compará-la com a divulgada pela empresa;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identificar lacunas, inconsistências e quebras metodológicas que limitam a análise e definir os próximos passos.</w:t>
      </w: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2. APRESENTAÇÃO DA EMPRESA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>A apresentação segue a abordagem top-down do roteiro: parte da identificação geral da empresa e chega aos dados do segmento estudado.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2.1 Identificação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/>
          <w:i w:val="0"/>
          <w:sz w:val="22"/>
        </w:rPr>
        <w:t>OceanPact Serviços Marítimos S.A.</w:t>
      </w:r>
      <w:r>
        <w:rPr>
          <w:rFonts w:ascii="Arial" w:hAnsi="Arial" w:cs="Arial"/>
          <w:b w:val="0"/>
          <w:i w:val="0"/>
          <w:sz w:val="22"/>
        </w:rPr>
        <w:t xml:space="preserve"> é uma companhia aberta listada na B3 (código OPCT3), com sede no Rio de Janeiro. Atua no apoio às atividades offshore e em soluções ambientais para o mar e o litoral brasileiro. Opera bases em 10 estados da costa brasileira e mantém escritórios internacionais.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2.2 Missão, visão e valores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Missão:</w:t>
      </w:r>
      <w:r>
        <w:rPr>
          <w:rFonts w:ascii="Arial" w:hAnsi="Arial" w:cs="Arial"/>
          <w:b w:val="0"/>
          <w:i w:val="0"/>
          <w:sz w:val="22"/>
        </w:rPr>
        <w:t xml:space="preserve"> “Ajudar a sociedade e os nossos clientes a conhecer, usar e explorar o litoral, os oceanos e suas riquezas, garantindo sua proteção e conservação.”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Visão:</w:t>
      </w:r>
      <w:r>
        <w:rPr>
          <w:rFonts w:ascii="Arial" w:hAnsi="Arial" w:cs="Arial"/>
          <w:b w:val="0"/>
          <w:i w:val="0"/>
          <w:sz w:val="22"/>
        </w:rPr>
        <w:t xml:space="preserve"> “Ser referência mundial em conhecimento e entrega de serviços no mar, fazendo sempre do jeito certo.”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Valores:</w:t>
      </w:r>
      <w:r>
        <w:rPr>
          <w:rFonts w:ascii="Arial" w:hAnsi="Arial" w:cs="Arial"/>
          <w:b w:val="0"/>
          <w:i w:val="0"/>
          <w:sz w:val="22"/>
        </w:rPr>
        <w:t xml:space="preserve"> Gostamos do que fazemos; O jeito certo; Dá para fazer; Resultados; Inovação; Confiança.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2.3 Segmentos de atuação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A empresa se organiza em dois segmentos. </w:t>
      </w:r>
      <w:r>
        <w:rPr>
          <w:rFonts w:ascii="Arial" w:hAnsi="Arial" w:cs="Arial"/>
          <w:b/>
          <w:i w:val="0"/>
          <w:sz w:val="22"/>
        </w:rPr>
        <w:t>Embarcações</w:t>
      </w:r>
      <w:r>
        <w:rPr>
          <w:rFonts w:ascii="Arial" w:hAnsi="Arial" w:cs="Arial"/>
          <w:b w:val="0"/>
          <w:i w:val="0"/>
          <w:sz w:val="22"/>
        </w:rPr>
        <w:t xml:space="preserve"> cuida da gestão comercial e operacional de navios de apoio marítimo (OSRV, PSV, RSV e AHTS) e respondeu por R$ 1.326 milhões da receita de 2025. </w:t>
      </w:r>
      <w:r>
        <w:rPr>
          <w:rFonts w:ascii="Arial" w:hAnsi="Arial" w:cs="Arial"/>
          <w:b/>
          <w:i w:val="0"/>
          <w:sz w:val="22"/>
        </w:rPr>
        <w:t>Serviços</w:t>
      </w:r>
      <w:r>
        <w:rPr>
          <w:rFonts w:ascii="Arial" w:hAnsi="Arial" w:cs="Arial"/>
          <w:b w:val="0"/>
          <w:i w:val="0"/>
          <w:sz w:val="22"/>
        </w:rPr>
        <w:t xml:space="preserve"> reúne meio ambiente, logística, geociências, resposta a emergências e operação de ROVs, com R$ 833 milhões em 2025. O objeto deste estudo é o </w:t>
      </w:r>
      <w:r>
        <w:rPr>
          <w:rFonts w:ascii="Arial" w:hAnsi="Arial" w:cs="Arial"/>
          <w:b/>
          <w:i w:val="0"/>
          <w:sz w:val="22"/>
        </w:rPr>
        <w:t>segmento Embarcações</w:t>
      </w:r>
      <w:r>
        <w:rPr>
          <w:rFonts w:ascii="Arial" w:hAnsi="Arial" w:cs="Arial"/>
          <w:b w:val="0"/>
          <w:i w:val="0"/>
          <w:sz w:val="22"/>
        </w:rPr>
        <w:t>, que gera 99,4% das emissões diretas (Escopo 1) da companhia.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2.4 Posicionamento de mercado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>A OceanPact não divulga um percentual de market share. Seu posicionamento é descrito pelos indicadores operacionais: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frota de 28 embarcações e 11 ROVs de classe work class (2025);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taxa de ocupação da frota de 87% (2023), 79% (2024) e 82% (2025);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receita líquida de R$ 2,13 bilhões e EBITDA ajustado de R$ 656 milhões em 2025;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carteira com 196 clientes e combinação de negócios anunciada com o Grupo CBO no início de 2026.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2.5 Colaboradores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>Eram 2.089 colaboradores em 2023, 2.162 em 2024 (1.130 em embarcações, 882 em escritórios e 150 em bases) e 2.662 em 2025.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2.6 Iniciativas em Data Science e trabalhos em destaque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OceanPact Digital:</w:t>
      </w:r>
      <w:r>
        <w:rPr>
          <w:rFonts w:ascii="Arial" w:hAnsi="Arial" w:cs="Arial"/>
          <w:b w:val="0"/>
          <w:i w:val="0"/>
          <w:sz w:val="22"/>
        </w:rPr>
        <w:t xml:space="preserve"> plataforma de dados com o primeiro contrato fechado em 2023;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aquisição de dados oceanográficos com ROVs, veículos autônomos submarinos e drones, e monitoramento marítimo em tempo real via satélite;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descarbonização:</w:t>
      </w:r>
      <w:r>
        <w:rPr>
          <w:rFonts w:ascii="Arial" w:hAnsi="Arial" w:cs="Arial"/>
          <w:b w:val="0"/>
          <w:i w:val="0"/>
          <w:sz w:val="22"/>
        </w:rPr>
        <w:t xml:space="preserve"> sede abastecida com 100% de energia renovável (redução de 37,4% no Escopo 2) e uso de shore power nas embarcações (168,22 tCO₂e evitadas em 2025);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biodiversidade:</w:t>
      </w:r>
      <w:r>
        <w:rPr>
          <w:rFonts w:ascii="Arial" w:hAnsi="Arial" w:cs="Arial"/>
          <w:b w:val="0"/>
          <w:i w:val="0"/>
          <w:sz w:val="22"/>
        </w:rPr>
        <w:t xml:space="preserve"> restauração de 12,2 ha de manguezal (Guanabara Verde) e 14 ha (MangueLab, Qatar);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reconhecimentos:</w:t>
      </w:r>
      <w:r>
        <w:rPr>
          <w:rFonts w:ascii="Arial" w:hAnsi="Arial" w:cs="Arial"/>
          <w:b w:val="0"/>
          <w:i w:val="0"/>
          <w:sz w:val="22"/>
        </w:rPr>
        <w:t xml:space="preserve"> nota B no CDP desde 2024 e categoria de gestão de carbono avançada na EcoVadis.</w:t>
      </w: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3. PROBLEMA DE PESQUISA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A navegação de apoio offshore é um setor de “difícil abatimento”, porque suas operações dependem de diesel marítimo. A OceanPact vem crescendo rápido: a receita passou de R$ 882 milhões em 2021 para R$ 2,13 bilhões em 2025. A dúvida (o </w:t>
      </w:r>
      <w:r>
        <w:rPr>
          <w:rFonts w:ascii="Arial" w:hAnsi="Arial" w:cs="Arial"/>
          <w:b/>
          <w:i w:val="0"/>
          <w:sz w:val="22"/>
        </w:rPr>
        <w:t>gap</w:t>
      </w:r>
      <w:r>
        <w:rPr>
          <w:rFonts w:ascii="Arial" w:hAnsi="Arial" w:cs="Arial"/>
          <w:b w:val="0"/>
          <w:i w:val="0"/>
          <w:sz w:val="22"/>
        </w:rPr>
        <w:t xml:space="preserve">) é se esse crescimento ocorre com ganho de eficiência climática ou apenas aumenta proporcionalmente as emissões. A empresa divulga uma intensidade de emissões decrescente. Esse dado é uma </w:t>
      </w:r>
      <w:r>
        <w:rPr>
          <w:rFonts w:ascii="Arial" w:hAnsi="Arial" w:cs="Arial"/>
          <w:b/>
          <w:i w:val="0"/>
          <w:sz w:val="22"/>
        </w:rPr>
        <w:t>afirmação que pode ser contestada</w:t>
      </w:r>
      <w:r>
        <w:rPr>
          <w:rFonts w:ascii="Arial" w:hAnsi="Arial" w:cs="Arial"/>
          <w:b w:val="0"/>
          <w:i w:val="0"/>
          <w:sz w:val="22"/>
        </w:rPr>
        <w:t xml:space="preserve"> com os próprios números publicados.</w:t>
      </w:r>
    </w:p>
    <w:p>
      <w:pPr>
        <w:spacing w:before="0" w:after="40" w:line="360" w:lineRule="auto"/>
        <w:jc w:val="both"/>
      </w:pPr>
      <w:r>
        <w:rPr>
          <w:rFonts w:ascii="Arial" w:hAnsi="Arial" w:cs="Arial"/>
          <w:b/>
          <w:i w:val="0"/>
          <w:sz w:val="22"/>
        </w:rPr>
        <w:t>Perguntas de pesquisa: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P1. As emissões totais e as de Escopo 1 crescem no mesmo ritmo da receita?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P2. Quais escopos e unidades operacionais concentram as emissões?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P3. A intensidade divulgada pela empresa pode ser reproduzida a partir dos dados publicados?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P4. Fatores operacionais, como a ocupação da frota e o consumo de energia, explicam a variação das emissões?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P5. Os dados disponíveis são suficientes, em quantidade e consistência, para uma análise de correlação?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Pensamento computacional aplicado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Decomposição:</w:t>
      </w:r>
      <w:r>
        <w:rPr>
          <w:rFonts w:ascii="Arial" w:hAnsi="Arial" w:cs="Arial"/>
          <w:b w:val="0"/>
          <w:i w:val="0"/>
          <w:sz w:val="22"/>
        </w:rPr>
        <w:t xml:space="preserve"> separar emissões por escopo (1, 2 e 3) e por unidade (embarcações, bases e escritórios), e a receita por segmento.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Reconhecimento de padrões:</w:t>
      </w:r>
      <w:r>
        <w:rPr>
          <w:rFonts w:ascii="Arial" w:hAnsi="Arial" w:cs="Arial"/>
          <w:b w:val="0"/>
          <w:i w:val="0"/>
          <w:sz w:val="22"/>
        </w:rPr>
        <w:t xml:space="preserve"> comparar a variação anual da receita com a das emissões e procurar descolamento entre as séries.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Abstração:</w:t>
      </w:r>
      <w:r>
        <w:rPr>
          <w:rFonts w:ascii="Arial" w:hAnsi="Arial" w:cs="Arial"/>
          <w:b w:val="0"/>
          <w:i w:val="0"/>
          <w:sz w:val="22"/>
        </w:rPr>
        <w:t xml:space="preserve"> concentrar a análise nas variáveis de maior peso (Escopo 1 das embarcações, Escopo 3 e receita) e deixar de lado as de impacto marginal, como o Escopo 2 dos escritórios.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Algoritmo:</w:t>
      </w:r>
      <w:r>
        <w:rPr>
          <w:rFonts w:ascii="Arial" w:hAnsi="Arial" w:cs="Arial"/>
          <w:b w:val="0"/>
          <w:i w:val="0"/>
          <w:sz w:val="22"/>
        </w:rPr>
        <w:t xml:space="preserve"> pipeline em Python com coleta → limpeza → integração → variáveis derivadas → estatística descritiva → correlação → diagnóstico de anomalias (scripts em src/).</w:t>
      </w: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4. METADADOS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381"/>
        <w:gridCol w:w="6350"/>
      </w:tblGrid>
      <w:tr>
        <w:tc>
          <w:tcPr>
            <w:tcW w:type="dxa" w:w="2381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8"/>
              </w:rPr>
              <w:t>Item</w:t>
            </w:r>
          </w:p>
        </w:tc>
        <w:tc>
          <w:tcPr>
            <w:tcW w:type="dxa" w:w="6350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8"/>
              </w:rPr>
              <w:t>Registro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Tipo de arquivo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CSV (UTF-8, separador vírgula, decimal ponto)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Origem dos dados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Abertos: Painel de Indicadores ASG 2024, Relatório de Sustentabilidade 2023, releases de resultados 4T24 e 4T25 (RI OceanPact) e notícia sobre o Relatório de Sustentabilidade 2025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Sensibilidade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Não contém dados pessoais; indicadores agregados por ano e unidade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Validade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2021 a 2025. Atualização anual (sustentabilidade) e trimestral (financeiro). Torna-se obsoleto com o relatório de 2026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Proprietário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OceanPact Serviços Marítimos S.A. Estruturação feita pelo Grupo 19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Restrições de uso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Uso acadêmico com citação da fonte. Sem restrições de LGPD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Informações adicionais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Emissões em tCO₂e (GHG Protocol); Escopo 2 market-based; valores em R$ milhões nominais</w:t>
            </w:r>
          </w:p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60" w:line="240" w:lineRule="auto"/>
        <w:jc w:val="left"/>
      </w:pPr>
      <w:r>
        <w:rPr>
          <w:rFonts w:ascii="Arial" w:hAnsi="Arial" w:cs="Arial"/>
          <w:b/>
          <w:i w:val="0"/>
          <w:sz w:val="18"/>
        </w:rPr>
        <w:t>Quadro 1 – Conjuntos de dados do estudo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08"/>
        <w:gridCol w:w="850"/>
        <w:gridCol w:w="964"/>
        <w:gridCol w:w="4309"/>
      </w:tblGrid>
      <w:tr>
        <w:tc>
          <w:tcPr>
            <w:tcW w:type="dxa" w:w="2608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7"/>
              </w:rPr>
              <w:t>Arquivo</w:t>
            </w:r>
          </w:p>
        </w:tc>
        <w:tc>
          <w:tcPr>
            <w:tcW w:type="dxa" w:w="850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7"/>
              </w:rPr>
              <w:t>Linhas</w:t>
            </w:r>
          </w:p>
        </w:tc>
        <w:tc>
          <w:tcPr>
            <w:tcW w:type="dxa" w:w="964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7"/>
              </w:rPr>
              <w:t>Colunas</w:t>
            </w:r>
          </w:p>
        </w:tc>
        <w:tc>
          <w:tcPr>
            <w:tcW w:type="dxa" w:w="4309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7"/>
              </w:rPr>
              <w:t>Conteúdo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financeiro_anual.csv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10</w:t>
            </w:r>
          </w:p>
        </w:tc>
        <w:tc>
          <w:tcPr>
            <w:tcW w:type="dxa" w:w="4309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Receita total e por segmento, EBITDA, lucro, ocupação, frota, colaboradores (2021–2025)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emissoes_anual.csv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10</w:t>
            </w:r>
          </w:p>
        </w:tc>
        <w:tc>
          <w:tcPr>
            <w:tcW w:type="dxa" w:w="4309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Escopos 1, 2 e 3, intensidade reportada, energia e diesel (2023–2025)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emissoes_por_unidade.csv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12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309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Escopos 1 e 2 por bases, embarcações e escritórios (2023–2024)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indicadores_asg_long.csv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75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6</w:t>
            </w:r>
          </w:p>
        </w:tc>
        <w:tc>
          <w:tcPr>
            <w:tcW w:type="dxa" w:w="4309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Resíduos, NOx/SOx/MP, água, segurança e energia em formato longo (2022–2024)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oceanpact_anual.csv (processado)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32</w:t>
            </w:r>
          </w:p>
        </w:tc>
        <w:tc>
          <w:tcPr>
            <w:tcW w:type="dxa" w:w="4309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Base integrada com 15 variáveis derivadas</w:t>
            </w:r>
          </w:p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60" w:line="240" w:lineRule="auto"/>
        <w:jc w:val="left"/>
      </w:pPr>
      <w:r>
        <w:rPr>
          <w:rFonts w:ascii="Arial" w:hAnsi="Arial" w:cs="Arial"/>
          <w:b/>
          <w:i w:val="0"/>
          <w:sz w:val="18"/>
        </w:rPr>
        <w:t>Quadro 2 – Principais atributos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402"/>
        <w:gridCol w:w="907"/>
        <w:gridCol w:w="4422"/>
      </w:tblGrid>
      <w:tr>
        <w:tc>
          <w:tcPr>
            <w:tcW w:type="dxa" w:w="3402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7"/>
              </w:rPr>
              <w:t>Atributo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7"/>
              </w:rPr>
              <w:t>Tipo</w:t>
            </w:r>
          </w:p>
        </w:tc>
        <w:tc>
          <w:tcPr>
            <w:tcW w:type="dxa" w:w="4422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7"/>
              </w:rPr>
              <w:t>Definição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ano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inteiro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Ano-calendário de referência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receita_liquida_mi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Receita líquida consolidada (R$ milhões)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receita_embarcacoes_mi / receita_servicos_mi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Receita por segmento (R$ milhões)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ebitda_ajustado_mi / lucro_liquido_mi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Resultado operacional e líquido (R$ milhões)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taxa_ocupacao_frota_pct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Ocupação média anual da frota (%)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colaboradores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inteiro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Número de colaboradores no fim do ano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escopo1_tco2e / escopo2_tco2e / escopo3_tco2e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Emissões por escopo (tCO₂e)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intensidade_reportada_tco2e_por_mi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Intensidade divulgada pela empresa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energia_total_gj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Consumo de energia dentro da organização (GJ)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emissoes_total_tco2e (derivada)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Soma dos três escopos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intensidade_calc_total / _escopo12 (derivadas)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Emissões ÷ receita líquida (tCO₂e por R$ milhão)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part_escopoX_pct, var_*_pct (derivadas)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Participação no total e variação anual (%)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0"/>
        </w:rPr>
        <w:t>O dicionário completo está em docs/dicionario_de_dados.md no repositório.</w:t>
      </w: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5. ANÁLISE EXPLORATÓRIA DE DADOS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>A AED foi feita em Python (pandas, NumPy e Matplotlib) pelos scripts preparacao_dados.py e analise_exploratoria.py. Há também uma versão comentada no notebook aed_oceanpact.ipynb. Os resultados a seguir respondem às perguntas do roteiro.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5.1 Dimensões e tipos de dados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A base anual integrada tem </w:t>
      </w:r>
      <w:r>
        <w:rPr>
          <w:rFonts w:ascii="Arial" w:hAnsi="Arial" w:cs="Arial"/>
          <w:b/>
          <w:i w:val="0"/>
          <w:sz w:val="22"/>
        </w:rPr>
        <w:t>5 exemplares (anos 2021 a 2025) e 32 dimensões</w:t>
      </w:r>
      <w:r>
        <w:rPr>
          <w:rFonts w:ascii="Arial" w:hAnsi="Arial" w:cs="Arial"/>
          <w:b w:val="0"/>
          <w:i w:val="0"/>
          <w:sz w:val="22"/>
        </w:rPr>
        <w:t>: 17 originais e 15 derivadas. Todas as variáveis analíticas são numéricas contínuas (31 do tipo float64), e o ano é um inteiro (int64). As bases auxiliares têm 75 linhas × 6 colunas (indicadores ASG em formato longo) e 12 × 4 (emissões por unidade), com variáveis categóricas nominais (categoria, indicador, escopo, unidade).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5.2 Valores ausentes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Os inventários de emissões publicados cobrem apenas </w:t>
      </w:r>
      <w:r>
        <w:rPr>
          <w:rFonts w:ascii="Arial" w:hAnsi="Arial" w:cs="Arial"/>
          <w:b/>
          <w:i w:val="0"/>
          <w:sz w:val="22"/>
        </w:rPr>
        <w:t>2023–2025</w:t>
      </w:r>
      <w:r>
        <w:rPr>
          <w:rFonts w:ascii="Arial" w:hAnsi="Arial" w:cs="Arial"/>
          <w:b w:val="0"/>
          <w:i w:val="0"/>
          <w:sz w:val="22"/>
        </w:rPr>
        <w:t xml:space="preserve">. Por isso, faltam emissões e energia para 2021 e 2022 (40% das linhas). A intensidade divulgada e a separação entre energia renovável e não renovável de 2025 ainda não têm fonte primária, porque o painel de 2025 não foi publicado. Os valores ausentes foram </w:t>
      </w:r>
      <w:r>
        <w:rPr>
          <w:rFonts w:ascii="Arial" w:hAnsi="Arial" w:cs="Arial"/>
          <w:b/>
          <w:i w:val="0"/>
          <w:sz w:val="22"/>
        </w:rPr>
        <w:t>mantidos como nulos</w:t>
      </w:r>
      <w:r>
        <w:rPr>
          <w:rFonts w:ascii="Arial" w:hAnsi="Arial" w:cs="Arial"/>
          <w:b w:val="0"/>
          <w:i w:val="0"/>
          <w:sz w:val="22"/>
        </w:rPr>
        <w:t>, sem imputação: com três pontos, qualquer estimativa distorceria as medidas.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1707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a_ausen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/>
          <w:b w:val="0"/>
          <w:i/>
          <w:color w:val="585858"/>
          <w:sz w:val="18"/>
        </w:rPr>
        <w:t>Figura 1 – Mapa de completude da base anual (azul = disponível; salmão = ausente)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5.3 Medidas de posição e dispersão</w:t>
      </w:r>
    </w:p>
    <w:p>
      <w:pPr>
        <w:keepNext/>
        <w:spacing w:before="120" w:after="60" w:line="240" w:lineRule="auto"/>
        <w:jc w:val="left"/>
      </w:pPr>
      <w:r>
        <w:rPr>
          <w:rFonts w:ascii="Arial" w:hAnsi="Arial" w:cs="Arial"/>
          <w:b/>
          <w:i w:val="0"/>
          <w:sz w:val="18"/>
        </w:rPr>
        <w:t>Tabela 1 – Estatística descritiva das principais variáveis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494"/>
        <w:gridCol w:w="454"/>
        <w:gridCol w:w="1020"/>
        <w:gridCol w:w="1020"/>
        <w:gridCol w:w="964"/>
        <w:gridCol w:w="1020"/>
        <w:gridCol w:w="1077"/>
        <w:gridCol w:w="680"/>
      </w:tblGrid>
      <w:tr>
        <w:tc>
          <w:tcPr>
            <w:tcW w:type="dxa" w:w="2494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6"/>
              </w:rPr>
              <w:t>Variável</w:t>
            </w:r>
          </w:p>
        </w:tc>
        <w:tc>
          <w:tcPr>
            <w:tcW w:type="dxa" w:w="454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6"/>
              </w:rPr>
              <w:t>n</w:t>
            </w:r>
          </w:p>
        </w:tc>
        <w:tc>
          <w:tcPr>
            <w:tcW w:type="dxa" w:w="1020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6"/>
              </w:rPr>
              <w:t>Média</w:t>
            </w:r>
          </w:p>
        </w:tc>
        <w:tc>
          <w:tcPr>
            <w:tcW w:type="dxa" w:w="1020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6"/>
              </w:rPr>
              <w:t>Mediana</w:t>
            </w:r>
          </w:p>
        </w:tc>
        <w:tc>
          <w:tcPr>
            <w:tcW w:type="dxa" w:w="964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6"/>
              </w:rPr>
              <w:t>Mín.</w:t>
            </w:r>
          </w:p>
        </w:tc>
        <w:tc>
          <w:tcPr>
            <w:tcW w:type="dxa" w:w="1020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6"/>
              </w:rPr>
              <w:t>Máx.</w:t>
            </w:r>
          </w:p>
        </w:tc>
        <w:tc>
          <w:tcPr>
            <w:tcW w:type="dxa" w:w="1077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6"/>
              </w:rPr>
              <w:t>Desvio-padrão</w:t>
            </w:r>
          </w:p>
        </w:tc>
        <w:tc>
          <w:tcPr>
            <w:tcW w:type="dxa" w:w="680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6"/>
              </w:rPr>
              <w:t>CV (%)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Receita líquida (R$ mi)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1.517,2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1.649,0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882,2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2.134,0</w:t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485,6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32,0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Escopo 1 (tCO₂e)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52.612,4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54.446,1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47.206,2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56.184,7</w:t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4.761,9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9,1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Escopo 2 (tCO₂e)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65,4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65,6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42,8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87,8</w:t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22,5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34,4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Escopo 3 (tCO₂e)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177.060,4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196.308,8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133.607,5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201.264,9</w:t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37.712,8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21,3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Emissões totais (tCO₂e)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229.738,1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243.602,8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188.096,4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257.515,2</w:t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36.727,6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16,0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Intensidade calc. (tCO₂e/R$ mi)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125,4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120,7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114,1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141,6</w:t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14,3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11,4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Energia (GJ)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424.960,3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441.973,3</w:t>
            </w:r>
          </w:p>
        </w:tc>
        <w:tc>
          <w:tcPr>
            <w:tcW w:type="dxa" w:w="96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380.302,5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452.605,0</w:t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39.038,4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6"/>
              </w:rPr>
              <w:t>9,2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>A receita tem a maior dispersão relativa (CV de 32%), o que reflete o crescimento contínuo de 2021 a 2025. O Escopo 1 é estável (CV de 9%), entre 47,2 mil e 56,2 mil tCO₂e. O Escopo 3 varia mais (CV de 21%) por causa da mudança de método em 2024 (ver 5.6). A média da intensidade calculada é de 125,4 tCO₂e por R$ milhão, com amplitude de 27,5.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5.4 Distribuição e frequência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99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issoes_por_esco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9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/>
          <w:b w:val="0"/>
          <w:i/>
          <w:color w:val="585858"/>
          <w:sz w:val="18"/>
        </w:rPr>
        <w:t>Figura 2 – Emissões de GEE por escopo, 2023–2025 (mil tCO₂e)</w:t>
      </w:r>
    </w:p>
    <w:p>
      <w:pPr>
        <w:keepNext/>
        <w:spacing w:before="120" w:after="60" w:line="240" w:lineRule="auto"/>
        <w:jc w:val="left"/>
      </w:pPr>
      <w:r>
        <w:rPr>
          <w:rFonts w:ascii="Arial" w:hAnsi="Arial" w:cs="Arial"/>
          <w:b/>
          <w:i w:val="0"/>
          <w:sz w:val="18"/>
        </w:rPr>
        <w:t>Tabela 2 – Participação de cada escopo nas emissões totais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701"/>
        <w:gridCol w:w="2268"/>
        <w:gridCol w:w="2268"/>
        <w:gridCol w:w="2494"/>
      </w:tblGrid>
      <w:tr>
        <w:tc>
          <w:tcPr>
            <w:tcW w:type="dxa" w:w="1701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8"/>
              </w:rPr>
              <w:t>Ano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8"/>
              </w:rPr>
              <w:t>Escopo 1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8"/>
              </w:rPr>
              <w:t>Escopo 2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i w:val="0"/>
                <w:sz w:val="18"/>
              </w:rPr>
              <w:t>Escopo 3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28,95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0,02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71,03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19,38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0,04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80,59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21,82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0,03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right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78,16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A distribuição é muito concentrada. O </w:t>
      </w:r>
      <w:r>
        <w:rPr>
          <w:rFonts w:ascii="Arial" w:hAnsi="Arial" w:cs="Arial"/>
          <w:b/>
          <w:i w:val="0"/>
          <w:sz w:val="22"/>
        </w:rPr>
        <w:t>Escopo 3</w:t>
      </w:r>
      <w:r>
        <w:rPr>
          <w:rFonts w:ascii="Arial" w:hAnsi="Arial" w:cs="Arial"/>
          <w:b w:val="0"/>
          <w:i w:val="0"/>
          <w:sz w:val="22"/>
        </w:rPr>
        <w:t xml:space="preserve"> (cadeia de valor, com destaque para embarcações afretadas e ativos arrendados) representa de 71% a 81% do total. O Escopo 2 é residual (cerca de 0,03%). Dentro do Escopo 1, as </w:t>
      </w:r>
      <w:r>
        <w:rPr>
          <w:rFonts w:ascii="Arial" w:hAnsi="Arial" w:cs="Arial"/>
          <w:b/>
          <w:i w:val="0"/>
          <w:sz w:val="22"/>
        </w:rPr>
        <w:t>embarcações respondem por 99,4%</w:t>
      </w:r>
      <w:r>
        <w:rPr>
          <w:rFonts w:ascii="Arial" w:hAnsi="Arial" w:cs="Arial"/>
          <w:b w:val="0"/>
          <w:i w:val="0"/>
          <w:sz w:val="22"/>
        </w:rPr>
        <w:t xml:space="preserve"> das emissões em 2023 e 2024. As bases emitem cerca de 300 tCO₂e por ano, e os escritórios, menos de 1 tCO₂e.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5.5 Correlações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71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dice_receita_emiss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/>
          <w:b w:val="0"/>
          <w:i/>
          <w:color w:val="585858"/>
          <w:sz w:val="18"/>
        </w:rPr>
        <w:t>Figura 3 – Receita e emissões em índice (2023 = 100), em um único eixo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Com 2023 como base 100, a receita chegou a </w:t>
      </w:r>
      <w:r>
        <w:rPr>
          <w:rFonts w:ascii="Arial" w:hAnsi="Arial" w:cs="Arial"/>
          <w:b/>
          <w:i w:val="0"/>
          <w:sz w:val="22"/>
        </w:rPr>
        <w:t>129</w:t>
      </w:r>
      <w:r>
        <w:rPr>
          <w:rFonts w:ascii="Arial" w:hAnsi="Arial" w:cs="Arial"/>
          <w:b w:val="0"/>
          <w:i w:val="0"/>
          <w:sz w:val="22"/>
        </w:rPr>
        <w:t xml:space="preserve"> em 2025, as emissões totais a </w:t>
      </w:r>
      <w:r>
        <w:rPr>
          <w:rFonts w:ascii="Arial" w:hAnsi="Arial" w:cs="Arial"/>
          <w:b/>
          <w:i w:val="0"/>
          <w:sz w:val="22"/>
        </w:rPr>
        <w:t>137</w:t>
      </w:r>
      <w:r>
        <w:rPr>
          <w:rFonts w:ascii="Arial" w:hAnsi="Arial" w:cs="Arial"/>
          <w:b w:val="0"/>
          <w:i w:val="0"/>
          <w:sz w:val="22"/>
        </w:rPr>
        <w:t xml:space="preserve"> e o Escopo 1 a </w:t>
      </w:r>
      <w:r>
        <w:rPr>
          <w:rFonts w:ascii="Arial" w:hAnsi="Arial" w:cs="Arial"/>
          <w:b/>
          <w:i w:val="0"/>
          <w:sz w:val="22"/>
        </w:rPr>
        <w:t>103</w:t>
      </w:r>
      <w:r>
        <w:rPr>
          <w:rFonts w:ascii="Arial" w:hAnsi="Arial" w:cs="Arial"/>
          <w:b w:val="0"/>
          <w:i w:val="0"/>
          <w:sz w:val="22"/>
        </w:rPr>
        <w:t>. As emissões diretas, portanto, se descolam do faturamento: a intensidade de Escopos 1+2 caiu de 33,0 para 26,4 tCO₂e por R$ milhão (</w:t>
      </w:r>
      <w:r>
        <w:rPr>
          <w:rFonts w:ascii="Arial" w:hAnsi="Arial" w:cs="Arial"/>
          <w:b/>
          <w:i w:val="0"/>
          <w:sz w:val="22"/>
        </w:rPr>
        <w:t>−20,2%</w:t>
      </w:r>
      <w:r>
        <w:rPr>
          <w:rFonts w:ascii="Arial" w:hAnsi="Arial" w:cs="Arial"/>
          <w:b w:val="0"/>
          <w:i w:val="0"/>
          <w:sz w:val="22"/>
        </w:rPr>
        <w:t>). Já as emissões totais cresceram mais que a receita, puxadas pelo Escopo 3. Isso responde à P1.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3400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riz_corre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/>
          <w:b w:val="0"/>
          <w:i/>
          <w:color w:val="585858"/>
          <w:sz w:val="18"/>
        </w:rPr>
        <w:t>Figura 4 – Matriz de correlação de Pearson (2023–2025, n = 3)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A receita se correlaciona positivamente com as emissões totais (r = 0,75) e fracamente com o Escopo 1 (r = 0,54). O Escopo 1 acompanha quase perfeitamente o consumo de energia (r = 1,00), o que é esperado, já que a energia vem do diesel queimado nas embarcações. A relação com a ocupação da frota é moderada (r = 0,66). </w:t>
      </w:r>
      <w:r>
        <w:rPr>
          <w:rFonts w:ascii="Arial" w:hAnsi="Arial" w:cs="Arial"/>
          <w:b/>
          <w:i w:val="0"/>
          <w:sz w:val="22"/>
        </w:rPr>
        <w:t>Com apenas três observações, esses coeficientes são indicativos e não têm significância estatística.</w:t>
      </w:r>
      <w:r>
        <w:rPr>
          <w:rFonts w:ascii="Arial" w:hAnsi="Arial" w:cs="Arial"/>
          <w:b w:val="0"/>
          <w:i w:val="0"/>
          <w:sz w:val="22"/>
        </w:rPr>
        <w:t xml:space="preserve"> Eles servem para orientar hipóteses, não para concluir.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26355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cupacao_vs_escop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3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/>
          <w:b w:val="0"/>
          <w:i/>
          <w:color w:val="585858"/>
          <w:sz w:val="18"/>
        </w:rPr>
        <w:t>Figura 5 – Taxa de ocupação da frota × emissões de Escopo 1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O ano de 2024 combina a menor ocupação (79%) com o menor Escopo 1. Segundo a própria empresa, isso decorreu do maior tempo de embarcações em docagem. A redução de emissões daquele ano foi, portanto, em parte </w:t>
      </w:r>
      <w:r>
        <w:rPr>
          <w:rFonts w:ascii="Arial" w:hAnsi="Arial" w:cs="Arial"/>
          <w:b/>
          <w:i w:val="0"/>
          <w:sz w:val="22"/>
        </w:rPr>
        <w:t>operacional, e não estrutural</w:t>
      </w:r>
      <w:r>
        <w:rPr>
          <w:rFonts w:ascii="Arial" w:hAnsi="Arial" w:cs="Arial"/>
          <w:b w:val="0"/>
          <w:i w:val="0"/>
          <w:sz w:val="22"/>
        </w:rPr>
        <w:t xml:space="preserve"> (P4).</w:t>
      </w:r>
    </w:p>
    <w:p>
      <w:pPr>
        <w:keepNext/>
        <w:spacing w:before="200" w:after="80" w:line="276" w:lineRule="auto"/>
        <w:jc w:val="left"/>
      </w:pPr>
      <w:r>
        <w:rPr>
          <w:rFonts w:ascii="Arial" w:hAnsi="Arial" w:cs="Arial"/>
          <w:b/>
          <w:i w:val="0"/>
          <w:sz w:val="23"/>
        </w:rPr>
        <w:t>5.6 Anomalias e outliers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99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tensidade_calc_vs_report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9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/>
          <w:b w:val="0"/>
          <w:i/>
          <w:color w:val="585858"/>
          <w:sz w:val="18"/>
        </w:rPr>
        <w:t>Figura 6 – Intensidade de emissões recalculada × reportada pela empresa (tCO₂e por R$ milhão)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Intensidade reportada inconsistente (P3):</w:t>
      </w:r>
      <w:r>
        <w:rPr>
          <w:rFonts w:ascii="Arial" w:hAnsi="Arial" w:cs="Arial"/>
          <w:b w:val="0"/>
          <w:i w:val="0"/>
          <w:sz w:val="22"/>
        </w:rPr>
        <w:t xml:space="preserve"> para 2023, o recálculo (114,1) coincide com o valor divulgado (114,03). Para 2024, o recálculo dá 141,5, contra 105,9 divulgado, uma diferença de −25,2%. Isso indica que a empresa mudou o denominador (por exemplo, para receita bruta) ou o perímetro do cálculo. A queda de intensidade divulgada não se confirma com a receita líquida.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Quebra metodológica no Escopo 3:</w:t>
      </w:r>
      <w:r>
        <w:rPr>
          <w:rFonts w:ascii="Arial" w:hAnsi="Arial" w:cs="Arial"/>
          <w:b w:val="0"/>
          <w:i w:val="0"/>
          <w:sz w:val="22"/>
        </w:rPr>
        <w:t xml:space="preserve"> o salto de +46,9% em 2024 coincide com a inclusão da categoria “ativos arrendados” no inventário. Trata-se de um outlier de método, não de operação: 2023 e 2024 não são comparáveis nesse escopo.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Valor da etapa 1 revisado:</w:t>
      </w:r>
      <w:r>
        <w:rPr>
          <w:rFonts w:ascii="Arial" w:hAnsi="Arial" w:cs="Arial"/>
          <w:b w:val="0"/>
          <w:i w:val="0"/>
          <w:sz w:val="22"/>
        </w:rPr>
        <w:t xml:space="preserve"> a etapa 1 citava a queda de intensidade de 114,03 para 92,96 (−19,09%). Não foi possível reproduzir o valor de 2025 a partir de fontes primárias. Pelo recálculo com receita líquida, a intensidade total foi de 114,1 (2023) para 120,7 (2025), uma alta de 5,8%.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>Z-score por indicador:</w:t>
      </w:r>
      <w:r>
        <w:rPr>
          <w:rFonts w:ascii="Arial" w:hAnsi="Arial" w:cs="Arial"/>
          <w:b w:val="0"/>
          <w:i w:val="0"/>
          <w:sz w:val="22"/>
        </w:rPr>
        <w:t xml:space="preserve"> nos indicadores ASG (3 anos cada), o |z| máximo é 1,15, abaixo do limiar usual de 2 ou 3. Nenhum valor é outlier estatístico. As anomalias relevantes aparecem nas variações anuais.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0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dicadores_as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/>
          <w:b w:val="0"/>
          <w:i/>
          <w:color w:val="585858"/>
          <w:sz w:val="18"/>
        </w:rPr>
        <w:t>Figura 7 – Outros indicadores ASG, 2022–2024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>Entre os demais indicadores, as emissões de NOx caíram 29,5% de 2022 a 2024, o que acompanha a queda do diesel consumido. Os resíduos perigosos tiveram um pico em 2023. A taxa de lesões (TRIR) mais que dobrou, de 0,65 para 1,45, um ponto de atenção para a dimensão social do ASG.</w:t>
      </w: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6. CONSIDERAÇÕES E PRÓXIMOS PASSOS</w:t>
      </w:r>
    </w:p>
    <w:p>
      <w:pPr>
        <w:spacing w:before="0" w:after="120" w:line="360" w:lineRule="auto"/>
        <w:jc w:val="both"/>
      </w:pPr>
      <w:r>
        <w:rPr>
          <w:rFonts w:ascii="Arial" w:hAnsi="Arial" w:cs="Arial"/>
          <w:b w:val="0"/>
          <w:i w:val="0"/>
          <w:sz w:val="22"/>
        </w:rPr>
        <w:t xml:space="preserve">A AED mostra que a OceanPact </w:t>
      </w:r>
      <w:r>
        <w:rPr>
          <w:rFonts w:ascii="Arial" w:hAnsi="Arial" w:cs="Arial"/>
          <w:b/>
          <w:i w:val="0"/>
          <w:sz w:val="22"/>
        </w:rPr>
        <w:t>descolou as emissões diretas do crescimento da receita</w:t>
      </w:r>
      <w:r>
        <w:rPr>
          <w:rFonts w:ascii="Arial" w:hAnsi="Arial" w:cs="Arial"/>
          <w:b w:val="0"/>
          <w:i w:val="0"/>
          <w:sz w:val="22"/>
        </w:rPr>
        <w:t xml:space="preserve"> entre 2023 e 2025: o Escopo 1 cresceu 3%, contra 29% da receita. As emissões totais, porém, cresceram acima do faturamento, puxadas pelo Escopo 3 e por mudanças de método. A base atual tem poucos anos de emissões e uma intensidade divulgada que não se reproduz. Por isso, ainda não sustenta uma conclusão estatística (P5).</w:t>
      </w:r>
    </w:p>
    <w:p>
      <w:pPr>
        <w:spacing w:before="0" w:after="40" w:line="360" w:lineRule="auto"/>
        <w:jc w:val="both"/>
      </w:pPr>
      <w:r>
        <w:rPr>
          <w:rFonts w:ascii="Arial" w:hAnsi="Arial" w:cs="Arial"/>
          <w:b/>
          <w:i w:val="0"/>
          <w:sz w:val="22"/>
        </w:rPr>
        <w:t>Próximos passos: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obter o Painel de Indicadores 2025 e os inventários de 2021–2022 (Registro Público de Emissões / RI) para ampliar a série;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buscar dados trimestrais (consumo de diesel e ocupação por trimestre) para aumentar o número de observações;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incorporar a base aberta do Kaggle Maritime GHG Emissions como linha de base setorial, conforme previsto na etapa 1;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solicitar à RI da empresa o denominador usado na intensidade de 2024;</w:t>
      </w:r>
    </w:p>
    <w:p>
      <w:pPr>
        <w:spacing w:before="0" w:after="60" w:line="360" w:lineRule="auto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aplicar regressão linear simples (emissões ~ receita + ocupação) quando houver observações suficientes.</w:t>
      </w:r>
    </w:p>
    <w:p>
      <w:pPr>
        <w:keepNext/>
        <w:spacing w:before="360" w:after="160" w:line="276" w:lineRule="auto"/>
        <w:jc w:val="left"/>
      </w:pPr>
      <w:r>
        <w:rPr>
          <w:rFonts w:ascii="Arial" w:hAnsi="Arial" w:cs="Arial"/>
          <w:b/>
          <w:i w:val="0"/>
          <w:color w:val="C43333"/>
          <w:sz w:val="26"/>
        </w:rPr>
        <w:t>REFERÊNCIAS</w:t>
      </w:r>
    </w:p>
    <w:p>
      <w:pPr>
        <w:spacing w:before="0" w:after="120" w:line="276" w:lineRule="auto"/>
        <w:jc w:val="left"/>
      </w:pPr>
      <w:r>
        <w:rPr>
          <w:rFonts w:ascii="Arial" w:hAnsi="Arial" w:cs="Arial"/>
          <w:b w:val="0"/>
          <w:i w:val="0"/>
          <w:sz w:val="20"/>
        </w:rPr>
        <w:t xml:space="preserve">OCEANPACT. </w:t>
      </w:r>
      <w:r>
        <w:rPr>
          <w:rFonts w:ascii="Arial" w:hAnsi="Arial" w:cs="Arial"/>
          <w:b/>
          <w:i w:val="0"/>
          <w:sz w:val="20"/>
        </w:rPr>
        <w:t>Indicator dashboard 2024</w:t>
      </w:r>
      <w:r>
        <w:rPr>
          <w:rFonts w:ascii="Arial" w:hAnsi="Arial" w:cs="Arial"/>
          <w:b w:val="0"/>
          <w:i w:val="0"/>
          <w:sz w:val="20"/>
        </w:rPr>
        <w:t>. Rio de Janeiro, 2025. Disponível em: https://oceanpact.com/wp-content/uploads/2026/05/Indicator-dashboard-2024.pdf. Acesso em: 5 out. 2026.</w:t>
      </w:r>
    </w:p>
    <w:p>
      <w:pPr>
        <w:spacing w:before="0" w:after="120" w:line="276" w:lineRule="auto"/>
        <w:jc w:val="left"/>
      </w:pPr>
      <w:r>
        <w:rPr>
          <w:rFonts w:ascii="Arial" w:hAnsi="Arial" w:cs="Arial"/>
          <w:b w:val="0"/>
          <w:i w:val="0"/>
          <w:sz w:val="20"/>
        </w:rPr>
        <w:t xml:space="preserve">OCEANPACT. </w:t>
      </w:r>
      <w:r>
        <w:rPr>
          <w:rFonts w:ascii="Arial" w:hAnsi="Arial" w:cs="Arial"/>
          <w:b/>
          <w:i w:val="0"/>
          <w:sz w:val="20"/>
        </w:rPr>
        <w:t>Relatório Anual de Sustentabilidade 2023</w:t>
      </w:r>
      <w:r>
        <w:rPr>
          <w:rFonts w:ascii="Arial" w:hAnsi="Arial" w:cs="Arial"/>
          <w:b w:val="0"/>
          <w:i w:val="0"/>
          <w:sz w:val="20"/>
        </w:rPr>
        <w:t>. Rio de Janeiro, 2024. Disponível em: https://oceanpact.com/wp-content/uploads/2024/05/OP_relatorio_sustentabilidade_2023_bx.pdf. Acesso em: 5 out. 2026.</w:t>
      </w:r>
    </w:p>
    <w:p>
      <w:pPr>
        <w:spacing w:before="0" w:after="120" w:line="276" w:lineRule="auto"/>
        <w:jc w:val="left"/>
      </w:pPr>
      <w:r>
        <w:rPr>
          <w:rFonts w:ascii="Arial" w:hAnsi="Arial" w:cs="Arial"/>
          <w:b w:val="0"/>
          <w:i w:val="0"/>
          <w:sz w:val="20"/>
        </w:rPr>
        <w:t xml:space="preserve">OCEANPACT. </w:t>
      </w:r>
      <w:r>
        <w:rPr>
          <w:rFonts w:ascii="Arial" w:hAnsi="Arial" w:cs="Arial"/>
          <w:b/>
          <w:i w:val="0"/>
          <w:sz w:val="20"/>
        </w:rPr>
        <w:t>4Q24 Earnings Release</w:t>
      </w:r>
      <w:r>
        <w:rPr>
          <w:rFonts w:ascii="Arial" w:hAnsi="Arial" w:cs="Arial"/>
          <w:b w:val="0"/>
          <w:i w:val="0"/>
          <w:sz w:val="20"/>
        </w:rPr>
        <w:t>. Rio de Janeiro, 26 fev. 2025. Disponível em: https://api.mziq.com/mzfilemanager/v2/d/d3d19aad-2471-4309-a7e5-a5dbc02c0a1c/1c354bca-a23e-dc64-5de3-018c6c446a09?origin=2. Acesso em: 5 out. 2026.</w:t>
      </w:r>
    </w:p>
    <w:p>
      <w:pPr>
        <w:spacing w:before="0" w:after="120" w:line="276" w:lineRule="auto"/>
        <w:jc w:val="left"/>
      </w:pPr>
      <w:r>
        <w:rPr>
          <w:rFonts w:ascii="Arial" w:hAnsi="Arial" w:cs="Arial"/>
          <w:b w:val="0"/>
          <w:i w:val="0"/>
          <w:sz w:val="20"/>
        </w:rPr>
        <w:t xml:space="preserve">OCEANPACT. </w:t>
      </w:r>
      <w:r>
        <w:rPr>
          <w:rFonts w:ascii="Arial" w:hAnsi="Arial" w:cs="Arial"/>
          <w:b/>
          <w:i w:val="0"/>
          <w:sz w:val="20"/>
        </w:rPr>
        <w:t>4Q25 Earnings Release</w:t>
      </w:r>
      <w:r>
        <w:rPr>
          <w:rFonts w:ascii="Arial" w:hAnsi="Arial" w:cs="Arial"/>
          <w:b w:val="0"/>
          <w:i w:val="0"/>
          <w:sz w:val="20"/>
        </w:rPr>
        <w:t>. Rio de Janeiro, 4 mar. 2026. Disponível em: https://api.mziq.com/mzfilemanager/v2/d/d3d19aad-2471-4309-a7e5-a5dbc02c0a1c/59ffa746-80ec-d9ed-6231-4f87eb10c845?origin=2. Acesso em: 5 out. 2026.</w:t>
      </w:r>
    </w:p>
    <w:p>
      <w:pPr>
        <w:spacing w:before="0" w:after="120" w:line="276" w:lineRule="auto"/>
        <w:jc w:val="left"/>
      </w:pPr>
      <w:r>
        <w:rPr>
          <w:rFonts w:ascii="Arial" w:hAnsi="Arial" w:cs="Arial"/>
          <w:b w:val="0"/>
          <w:i w:val="0"/>
          <w:sz w:val="20"/>
        </w:rPr>
        <w:t xml:space="preserve">NONATO, R. Relatório de sustentabilidade 2025 da OceanPact aponta alta de 6% nas emissões e avanço em descarbonização. </w:t>
      </w:r>
      <w:r>
        <w:rPr>
          <w:rFonts w:ascii="Arial" w:hAnsi="Arial" w:cs="Arial"/>
          <w:b/>
          <w:i w:val="0"/>
          <w:sz w:val="20"/>
        </w:rPr>
        <w:t>Portos e Navios</w:t>
      </w:r>
      <w:r>
        <w:rPr>
          <w:rFonts w:ascii="Arial" w:hAnsi="Arial" w:cs="Arial"/>
          <w:b w:val="0"/>
          <w:i w:val="0"/>
          <w:sz w:val="20"/>
        </w:rPr>
        <w:t>, 22 jun. 2026. Disponível em: https://www.portosenavios.com.br/noticias/offshore/relatorio-de-sustentabilidade-2025-da-oceanpact-aponta-alta-de-6-nas-emissoes-e-avanco-em-descarbonizacao. Acesso em: 5 out. 2026.</w:t>
      </w:r>
    </w:p>
    <w:p>
      <w:pPr>
        <w:spacing w:before="0" w:after="120" w:line="276" w:lineRule="auto"/>
        <w:jc w:val="left"/>
      </w:pPr>
      <w:r>
        <w:rPr>
          <w:rFonts w:ascii="Arial" w:hAnsi="Arial" w:cs="Arial"/>
          <w:b w:val="0"/>
          <w:i w:val="0"/>
          <w:sz w:val="20"/>
        </w:rPr>
        <w:t xml:space="preserve">STOCK ANALYSIS. </w:t>
      </w:r>
      <w:r>
        <w:rPr>
          <w:rFonts w:ascii="Arial" w:hAnsi="Arial" w:cs="Arial"/>
          <w:b/>
          <w:i w:val="0"/>
          <w:sz w:val="20"/>
        </w:rPr>
        <w:t>OceanPact Serviços Marítimos (OPCT3) revenue</w:t>
      </w:r>
      <w:r>
        <w:rPr>
          <w:rFonts w:ascii="Arial" w:hAnsi="Arial" w:cs="Arial"/>
          <w:b w:val="0"/>
          <w:i w:val="0"/>
          <w:sz w:val="20"/>
        </w:rPr>
        <w:t>. Disponível em: https://stockanalysis.com/quote/bvmf/OPCT3/revenue/. Acesso em: 5 out. 2026.</w:t>
      </w:r>
    </w:p>
    <w:p>
      <w:pPr>
        <w:spacing w:before="0" w:after="120" w:line="276" w:lineRule="auto"/>
        <w:jc w:val="left"/>
      </w:pPr>
      <w:r>
        <w:rPr>
          <w:rFonts w:ascii="Arial" w:hAnsi="Arial" w:cs="Arial"/>
          <w:b w:val="0"/>
          <w:i w:val="0"/>
          <w:sz w:val="20"/>
        </w:rPr>
        <w:t xml:space="preserve">WRI; WBCSD. </w:t>
      </w:r>
      <w:r>
        <w:rPr>
          <w:rFonts w:ascii="Arial" w:hAnsi="Arial" w:cs="Arial"/>
          <w:b/>
          <w:i w:val="0"/>
          <w:sz w:val="20"/>
        </w:rPr>
        <w:t>The Greenhouse Gas Protocol: a corporate accounting and reporting standard</w:t>
      </w:r>
      <w:r>
        <w:rPr>
          <w:rFonts w:ascii="Arial" w:hAnsi="Arial" w:cs="Arial"/>
          <w:b w:val="0"/>
          <w:i w:val="0"/>
          <w:sz w:val="20"/>
        </w:rPr>
        <w:t>. Revised ed. Washington, DC: WRI, 2004.</w:t>
      </w:r>
    </w:p>
    <w:p>
      <w:pPr>
        <w:spacing w:before="0" w:after="120" w:line="276" w:lineRule="auto"/>
        <w:jc w:val="left"/>
      </w:pPr>
      <w:r>
        <w:rPr>
          <w:rFonts w:ascii="Arial" w:hAnsi="Arial" w:cs="Arial"/>
          <w:b w:val="0"/>
          <w:i w:val="0"/>
          <w:sz w:val="20"/>
        </w:rPr>
        <w:t xml:space="preserve">ONU. </w:t>
      </w:r>
      <w:r>
        <w:rPr>
          <w:rFonts w:ascii="Arial" w:hAnsi="Arial" w:cs="Arial"/>
          <w:b/>
          <w:i w:val="0"/>
          <w:sz w:val="20"/>
        </w:rPr>
        <w:t>Transformando nosso mundo: a Agenda 2030 para o desenvolvimento sustentável</w:t>
      </w:r>
      <w:r>
        <w:rPr>
          <w:rFonts w:ascii="Arial" w:hAnsi="Arial" w:cs="Arial"/>
          <w:b w:val="0"/>
          <w:i w:val="0"/>
          <w:sz w:val="20"/>
        </w:rPr>
        <w:t>. Nova York: ONU, 2015.</w:t>
      </w:r>
    </w:p>
    <w:sectPr w:rsidR="00197C0E" w:rsidRPr="00A554CA">
      <w:type w:val="continuous"/>
      <w:pgSz w:w="11920" w:h="16840"/>
      <w:pgMar w:top="1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C2871"/>
    <w:multiLevelType w:val="multilevel"/>
    <w:tmpl w:val="49F8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38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7C0E"/>
    <w:rsid w:val="00197C0E"/>
    <w:rsid w:val="003E6B59"/>
    <w:rsid w:val="004E7CF2"/>
    <w:rsid w:val="00650F68"/>
    <w:rsid w:val="00772CB2"/>
    <w:rsid w:val="00A554CA"/>
    <w:rsid w:val="00A6760F"/>
    <w:rsid w:val="00F6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114DB"/>
  <w15:docId w15:val="{BB1EC8A8-49B9-40F9-BD73-A97F725B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268"/>
      <w:jc w:val="center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109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entrega de atividades</dc:title>
  <cp:lastModifiedBy>Washington Junior</cp:lastModifiedBy>
  <cp:revision>5</cp:revision>
  <dcterms:created xsi:type="dcterms:W3CDTF">2026-03-18T01:15:00Z</dcterms:created>
  <dcterms:modified xsi:type="dcterms:W3CDTF">2026-08-24T23:57:00Z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2026-03-18T00:00:00Z</vt:filetime>
  </property>
</Properties>
</file>