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TraceKite strategy for lower cost coding agents</w:t>
      </w:r>
    </w:p>
    <w:p>
      <w:r>
        <w:t xml:space="preserve">TraceKite should develop an </w:t>
      </w:r>
      <w:r>
        <w:rPr>
          <w:b/>
        </w:rPr>
        <w:t>Evidence Compiler</w:t>
      </w:r>
      <w:r>
        <w:t xml:space="preserve"> for coding agents: a system that turns a requested change into a small set of explicit questions, answers the supported questions from source evidence, and supplies more code only when the task requires it. Its purpose is to reduce the total cost of a correctly completed change while making missing and outdated information visible.</w:t>
      </w:r>
    </w:p>
    <w:p>
      <w:r>
        <w:t>The most promising initial market is teams making changes across services, repositories, configuration and API boundaries. These are the places where an agent can spend many turns reconstructing a connection that TraceKite can already derive mechanically. A one-file edit is a useful control case, not the main reason to adopt this product.</w:t>
      </w:r>
    </w:p>
    <w:p>
      <w:pPr>
        <w:pStyle w:val="Heading2"/>
      </w:pPr>
      <w:r>
        <w:t>The recommended bet</w:t>
      </w:r>
    </w:p>
    <w:p>
      <w:r>
        <w:t xml:space="preserve">Build a </w:t>
      </w:r>
      <w:r>
        <w:rPr>
          <w:b/>
        </w:rPr>
        <w:t>Rendezvous Witness Compiler</w:t>
      </w:r>
      <w:r>
        <w:t>, or RWC, as the research kernel behind the Evidence Compiler. A witness is the provider, consumer and configuration evidence supporting a connection. The compiler should preserve these witnesses, track unresolved questions, and watch the inputs that could change an answer, including the arrival of a previously unseen consumer.</w:t>
      </w:r>
    </w:p>
    <w:p>
      <w:r>
        <w:t>The intended developer experience is simple. The agent receives the relevant contracts and source locations, an explanation of what remains unknown, and a way to expand exact source. After a code or configuration change, it receives a replacement packet whose validity can be checked. Repeated questions can reuse computation without making yesterday's answer look current.</w:t>
      </w:r>
    </w:p>
    <w:p>
      <w:r/>
      <w:r>
        <w:rPr>
          <w:b/>
        </w:rPr>
        <w:t>The research hypothesis is specific:</w:t>
      </w:r>
      <w:r>
        <w:t xml:space="preserve"> on supported cross-repository change tasks, witness-aware selection plus dependency-aware revalidation can lower dollars per accepted task relative to a well-tuned search or retrieval baseline, without an unacceptable loss of task success. This is a proposed experiment, not a measured TraceKite result.</w:t>
      </w:r>
    </w:p>
    <w:p>
      <w:pPr>
        <w:pStyle w:val="Heading2"/>
      </w:pPr>
      <w:r>
        <w:t>What would make this important</w:t>
      </w:r>
    </w:p>
    <w:p>
      <w:r>
        <w:t>The larger opportunity is to make codebase understanding reusable infrastructure. A team should not need every coding agent to rediscover the same service bindings. Verified source facts can be shared within an authorized snapshot; model-generated reasoning and unverified conclusions should not become shared truth. If the evidence layer is useful across models, changing an agent or model should not require rebuilding that layer.</w:t>
      </w:r>
    </w:p>
    <w:p>
      <w:r>
        <w:t xml:space="preserve">Start with a narrow adoption gate: target at least </w:t>
      </w:r>
      <w:r>
        <w:rPr>
          <w:b/>
        </w:rPr>
        <w:t>30 percent lower cost per accepted task</w:t>
      </w:r>
      <w:r>
        <w:t xml:space="preserve"> on the initial workload, measured against the strongest affordable baseline. Require a predeclared quality margin and publish failures. If only the serialized tool response becomes smaller, the central product claim has not been established.</w:t>
      </w:r>
    </w:p>
    <w:p>
      <w:pPr>
        <w:pStyle w:val="Heading2"/>
      </w:pPr>
      <w:r>
        <w:t>Novelty and open source</w:t>
      </w:r>
    </w:p>
    <w:p>
      <w:r>
        <w:t>Graphs, prompt compression, context compilers, proof-carrying packets and incremental caches already have prior art. Neither the product name nor the combination alone establishes a new algorithm. RWC is a candidate contribution that needs a precise specification, a comparative implementation and reproducible results. There is no basis here for a worldwide-first or patentability claim.</w:t>
      </w:r>
    </w:p>
    <w:p>
      <w:r>
        <w:t>An open-source advantage must survive inspection. Keep the kernel, receipt validator and benchmark public. Build defensibility through cross-repository coverage, integration quality, difficult regression fixtures and measured economics. A hidden ranking formula would provide a weaker foundation for trust.</w:t>
      </w:r>
    </w:p>
    <w:p>
      <w:pPr>
        <w:pStyle w:val="Heading1"/>
        <w:pageBreakBefore/>
      </w:pPr>
      <w:r>
        <w:t>Token economics and the actual objective</w:t>
      </w:r>
    </w:p>
    <w:p>
      <w:r>
        <w:t xml:space="preserve">Measure </w:t>
      </w:r>
      <w:r>
        <w:rPr>
          <w:b/>
        </w:rPr>
        <w:t>all spending divided by accepted tasks</w:t>
      </w:r>
      <w:r>
        <w:t xml:space="preserve"> over a fixed evaluation cohort. Include failed and abandoned attempts, repeated prompts, cache writes, cache reads, output and billable reasoning, tool fees, and amortized indexing and revalidation. Report human review time separately. If no tasks are accepted, the cost per accepted task is undefined; reporting zero would conceal failure.</w:t>
      </w:r>
    </w:p>
    <w:p>
      <w:r>
        <w:t>Prices vary by model and token category. Anthropic's current Sonnet 5 prices, per million tokens, are $2 for base input, $10 for output, $0.20 for cache reads and $2.50 for five-minute cache writes. Those are the rates used below, checked September 13 2026. They are one provider example, not a recommendation or a permanent price assumption.</w:t>
      </w:r>
      <w:r>
        <w:rPr>
          <w:vertAlign w:val="superscript"/>
        </w:rPr>
        <w:footnoteReference w:id="1"/>
      </w:r>
      <w:r/>
    </w:p>
    <w:p>
      <w:pPr>
        <w:pStyle w:val="Heading2"/>
      </w:pPr>
      <w:r>
        <w:t>Illustrative economics rather than a benchmark</w:t>
      </w:r>
    </w:p>
    <w:p>
      <w:r>
        <w:t>The volumes in this table are hypothetical totals per attempted task, summed across its model calls. The four token categories are disjoint. Costs assume standard first-party rates without taxes, negotiated discounts, residency premiums or batch discounts.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3384"/>
        <w:gridCol w:w="1800"/>
        <w:gridCol w:w="1800"/>
        <w:gridCol w:w="1584"/>
        <w:gridCol w:w="1656"/>
      </w:tblGrid>
      <w:tr>
        <w:trPr>
          <w:cantSplit/>
          <w:tblHeader/>
        </w:trPr>
        <w:tc>
          <w:tcPr>
            <w:tcW w:type="dxa" w:w="3384"/>
            <w:vAlign w:val="center"/>
            <w:shd w:fill="303942"/>
          </w:tcPr>
          <w:p>
            <w:pPr>
              <w:spacing w:after="0" w:line="254" w:lineRule="auto"/>
            </w:pPr>
            <w:r>
              <w:rPr>
                <w:b/>
                <w:color w:val="FFFFFF"/>
                <w:sz w:val="20"/>
              </w:rPr>
              <w:t>Cost component</w:t>
            </w:r>
          </w:p>
        </w:tc>
        <w:tc>
          <w:tcPr>
            <w:tcW w:type="dxa" w:w="1800"/>
            <w:vAlign w:val="center"/>
            <w:shd w:fill="303942"/>
          </w:tcPr>
          <w:p>
            <w:pPr>
              <w:spacing w:after="0" w:line="254" w:lineRule="auto"/>
            </w:pPr>
            <w:r>
              <w:rPr>
                <w:b/>
                <w:color w:val="FFFFFF"/>
                <w:sz w:val="20"/>
              </w:rPr>
              <w:t>Baseline volume</w:t>
            </w:r>
          </w:p>
        </w:tc>
        <w:tc>
          <w:tcPr>
            <w:tcW w:type="dxa" w:w="1800"/>
            <w:vAlign w:val="center"/>
            <w:shd w:fill="303942"/>
          </w:tcPr>
          <w:p>
            <w:pPr>
              <w:spacing w:after="0" w:line="254" w:lineRule="auto"/>
            </w:pPr>
            <w:r>
              <w:rPr>
                <w:b/>
                <w:color w:val="FFFFFF"/>
                <w:sz w:val="20"/>
              </w:rPr>
              <w:t>Proposed volume</w:t>
            </w:r>
          </w:p>
        </w:tc>
        <w:tc>
          <w:tcPr>
            <w:tcW w:type="dxa" w:w="1584"/>
            <w:vAlign w:val="center"/>
            <w:shd w:fill="303942"/>
          </w:tcPr>
          <w:p>
            <w:pPr>
              <w:spacing w:after="0" w:line="254" w:lineRule="auto"/>
              <w:jc w:val="right"/>
            </w:pPr>
            <w:r>
              <w:rPr>
                <w:b/>
                <w:color w:val="FFFFFF"/>
                <w:sz w:val="20"/>
              </w:rPr>
              <w:t>Baseline USD</w:t>
            </w:r>
          </w:p>
        </w:tc>
        <w:tc>
          <w:tcPr>
            <w:tcW w:type="dxa" w:w="1656"/>
            <w:vAlign w:val="center"/>
            <w:shd w:fill="303942"/>
          </w:tcPr>
          <w:p>
            <w:pPr>
              <w:spacing w:after="0" w:line="254" w:lineRule="auto"/>
              <w:jc w:val="right"/>
            </w:pPr>
            <w:r>
              <w:rPr>
                <w:b/>
                <w:color w:val="FFFFFF"/>
                <w:sz w:val="20"/>
              </w:rPr>
              <w:t>Proposed USD</w:t>
            </w:r>
          </w:p>
        </w:tc>
      </w:tr>
      <w:tr>
        <w:trPr>
          <w:cantSplit/>
        </w:trPr>
        <w:tc>
          <w:tcPr>
            <w:tcW w:type="dxa" w:w="3384"/>
            <w:vAlign w:val="center"/>
            <w:shd w:fill="FFFFFF"/>
          </w:tcPr>
          <w:p>
            <w:pPr>
              <w:spacing w:after="0" w:line="254" w:lineRule="auto"/>
            </w:pPr>
            <w:r>
              <w:rPr>
                <w:sz w:val="20"/>
              </w:rPr>
              <w:t>Uncached input</w:t>
            </w:r>
          </w:p>
        </w:tc>
        <w:tc>
          <w:tcPr>
            <w:tcW w:type="dxa" w:w="1800"/>
            <w:vAlign w:val="center"/>
            <w:shd w:fill="FFFFFF"/>
          </w:tcPr>
          <w:p>
            <w:pPr>
              <w:spacing w:after="0" w:line="254" w:lineRule="auto"/>
            </w:pPr>
            <w:r>
              <w:rPr>
                <w:sz w:val="20"/>
              </w:rPr>
              <w:t>400000 tokens</w:t>
            </w:r>
          </w:p>
        </w:tc>
        <w:tc>
          <w:tcPr>
            <w:tcW w:type="dxa" w:w="1800"/>
            <w:vAlign w:val="center"/>
            <w:shd w:fill="FFFFFF"/>
          </w:tcPr>
          <w:p>
            <w:pPr>
              <w:spacing w:after="0" w:line="254" w:lineRule="auto"/>
            </w:pPr>
            <w:r>
              <w:rPr>
                <w:sz w:val="20"/>
              </w:rPr>
              <w:t>160000 tokens</w:t>
            </w:r>
          </w:p>
        </w:tc>
        <w:tc>
          <w:tcPr>
            <w:tcW w:type="dxa" w:w="1584"/>
            <w:vAlign w:val="center"/>
            <w:shd w:fill="FFFFFF"/>
          </w:tcPr>
          <w:p>
            <w:pPr>
              <w:spacing w:after="0" w:line="254" w:lineRule="auto"/>
              <w:jc w:val="right"/>
            </w:pPr>
            <w:r>
              <w:rPr>
                <w:sz w:val="20"/>
              </w:rPr>
              <w:t>0.80</w:t>
            </w:r>
          </w:p>
        </w:tc>
        <w:tc>
          <w:tcPr>
            <w:tcW w:type="dxa" w:w="1656"/>
            <w:vAlign w:val="center"/>
            <w:shd w:fill="FFFFFF"/>
          </w:tcPr>
          <w:p>
            <w:pPr>
              <w:spacing w:after="0" w:line="254" w:lineRule="auto"/>
              <w:jc w:val="right"/>
            </w:pPr>
            <w:r>
              <w:rPr>
                <w:sz w:val="20"/>
              </w:rPr>
              <w:t>0.32</w:t>
            </w:r>
          </w:p>
        </w:tc>
      </w:tr>
      <w:tr>
        <w:trPr>
          <w:cantSplit/>
        </w:trPr>
        <w:tc>
          <w:tcPr>
            <w:tcW w:type="dxa" w:w="3384"/>
            <w:vAlign w:val="center"/>
            <w:shd w:fill="F3F5F6"/>
          </w:tcPr>
          <w:p>
            <w:pPr>
              <w:spacing w:after="0" w:line="254" w:lineRule="auto"/>
            </w:pPr>
            <w:r>
              <w:rPr>
                <w:sz w:val="20"/>
              </w:rPr>
              <w:t>Cache reads</w:t>
            </w:r>
          </w:p>
        </w:tc>
        <w:tc>
          <w:tcPr>
            <w:tcW w:type="dxa" w:w="1800"/>
            <w:vAlign w:val="center"/>
            <w:shd w:fill="F3F5F6"/>
          </w:tcPr>
          <w:p>
            <w:pPr>
              <w:spacing w:after="0" w:line="254" w:lineRule="auto"/>
            </w:pPr>
            <w:r>
              <w:rPr>
                <w:sz w:val="20"/>
              </w:rPr>
              <w:t>1600000 tokens</w:t>
            </w:r>
          </w:p>
        </w:tc>
        <w:tc>
          <w:tcPr>
            <w:tcW w:type="dxa" w:w="1800"/>
            <w:vAlign w:val="center"/>
            <w:shd w:fill="F3F5F6"/>
          </w:tcPr>
          <w:p>
            <w:pPr>
              <w:spacing w:after="0" w:line="254" w:lineRule="auto"/>
            </w:pPr>
            <w:r>
              <w:rPr>
                <w:sz w:val="20"/>
              </w:rPr>
              <w:t>800000 tokens</w:t>
            </w:r>
          </w:p>
        </w:tc>
        <w:tc>
          <w:tcPr>
            <w:tcW w:type="dxa" w:w="1584"/>
            <w:vAlign w:val="center"/>
            <w:shd w:fill="F3F5F6"/>
          </w:tcPr>
          <w:p>
            <w:pPr>
              <w:spacing w:after="0" w:line="254" w:lineRule="auto"/>
              <w:jc w:val="right"/>
            </w:pPr>
            <w:r>
              <w:rPr>
                <w:sz w:val="20"/>
              </w:rPr>
              <w:t>0.32</w:t>
            </w:r>
          </w:p>
        </w:tc>
        <w:tc>
          <w:tcPr>
            <w:tcW w:type="dxa" w:w="1656"/>
            <w:vAlign w:val="center"/>
            <w:shd w:fill="F3F5F6"/>
          </w:tcPr>
          <w:p>
            <w:pPr>
              <w:spacing w:after="0" w:line="254" w:lineRule="auto"/>
              <w:jc w:val="right"/>
            </w:pPr>
            <w:r>
              <w:rPr>
                <w:sz w:val="20"/>
              </w:rPr>
              <w:t>0.16</w:t>
            </w:r>
          </w:p>
        </w:tc>
      </w:tr>
      <w:tr>
        <w:trPr>
          <w:cantSplit/>
        </w:trPr>
        <w:tc>
          <w:tcPr>
            <w:tcW w:type="dxa" w:w="3384"/>
            <w:vAlign w:val="center"/>
            <w:shd w:fill="FFFFFF"/>
          </w:tcPr>
          <w:p>
            <w:pPr>
              <w:spacing w:after="0" w:line="254" w:lineRule="auto"/>
            </w:pPr>
            <w:r>
              <w:rPr>
                <w:sz w:val="20"/>
              </w:rPr>
              <w:t>Five minute cache writes</w:t>
            </w:r>
          </w:p>
        </w:tc>
        <w:tc>
          <w:tcPr>
            <w:tcW w:type="dxa" w:w="1800"/>
            <w:vAlign w:val="center"/>
            <w:shd w:fill="FFFFFF"/>
          </w:tcPr>
          <w:p>
            <w:pPr>
              <w:spacing w:after="0" w:line="254" w:lineRule="auto"/>
            </w:pPr>
            <w:r>
              <w:rPr>
                <w:sz w:val="20"/>
              </w:rPr>
              <w:t>100000 tokens</w:t>
            </w:r>
          </w:p>
        </w:tc>
        <w:tc>
          <w:tcPr>
            <w:tcW w:type="dxa" w:w="1800"/>
            <w:vAlign w:val="center"/>
            <w:shd w:fill="FFFFFF"/>
          </w:tcPr>
          <w:p>
            <w:pPr>
              <w:spacing w:after="0" w:line="254" w:lineRule="auto"/>
            </w:pPr>
            <w:r>
              <w:rPr>
                <w:sz w:val="20"/>
              </w:rPr>
              <w:t>80000 tokens</w:t>
            </w:r>
          </w:p>
        </w:tc>
        <w:tc>
          <w:tcPr>
            <w:tcW w:type="dxa" w:w="1584"/>
            <w:vAlign w:val="center"/>
            <w:shd w:fill="FFFFFF"/>
          </w:tcPr>
          <w:p>
            <w:pPr>
              <w:spacing w:after="0" w:line="254" w:lineRule="auto"/>
              <w:jc w:val="right"/>
            </w:pPr>
            <w:r>
              <w:rPr>
                <w:sz w:val="20"/>
              </w:rPr>
              <w:t>0.25</w:t>
            </w:r>
          </w:p>
        </w:tc>
        <w:tc>
          <w:tcPr>
            <w:tcW w:type="dxa" w:w="1656"/>
            <w:vAlign w:val="center"/>
            <w:shd w:fill="FFFFFF"/>
          </w:tcPr>
          <w:p>
            <w:pPr>
              <w:spacing w:after="0" w:line="254" w:lineRule="auto"/>
              <w:jc w:val="right"/>
            </w:pPr>
            <w:r>
              <w:rPr>
                <w:sz w:val="20"/>
              </w:rPr>
              <w:t>0.20</w:t>
            </w:r>
          </w:p>
        </w:tc>
      </w:tr>
      <w:tr>
        <w:trPr>
          <w:cantSplit/>
        </w:trPr>
        <w:tc>
          <w:tcPr>
            <w:tcW w:type="dxa" w:w="3384"/>
            <w:vAlign w:val="center"/>
            <w:shd w:fill="F3F5F6"/>
          </w:tcPr>
          <w:p>
            <w:pPr>
              <w:spacing w:after="0" w:line="254" w:lineRule="auto"/>
            </w:pPr>
            <w:r>
              <w:rPr>
                <w:sz w:val="20"/>
              </w:rPr>
              <w:t>Output including billable reasoning</w:t>
            </w:r>
          </w:p>
        </w:tc>
        <w:tc>
          <w:tcPr>
            <w:tcW w:type="dxa" w:w="1800"/>
            <w:vAlign w:val="center"/>
            <w:shd w:fill="F3F5F6"/>
          </w:tcPr>
          <w:p>
            <w:pPr>
              <w:spacing w:after="0" w:line="254" w:lineRule="auto"/>
            </w:pPr>
            <w:r>
              <w:rPr>
                <w:sz w:val="20"/>
              </w:rPr>
              <w:t>80000 tokens</w:t>
            </w:r>
          </w:p>
        </w:tc>
        <w:tc>
          <w:tcPr>
            <w:tcW w:type="dxa" w:w="1800"/>
            <w:vAlign w:val="center"/>
            <w:shd w:fill="F3F5F6"/>
          </w:tcPr>
          <w:p>
            <w:pPr>
              <w:spacing w:after="0" w:line="254" w:lineRule="auto"/>
            </w:pPr>
            <w:r>
              <w:rPr>
                <w:sz w:val="20"/>
              </w:rPr>
              <w:t>60000 tokens</w:t>
            </w:r>
          </w:p>
        </w:tc>
        <w:tc>
          <w:tcPr>
            <w:tcW w:type="dxa" w:w="1584"/>
            <w:vAlign w:val="center"/>
            <w:shd w:fill="F3F5F6"/>
          </w:tcPr>
          <w:p>
            <w:pPr>
              <w:spacing w:after="0" w:line="254" w:lineRule="auto"/>
              <w:jc w:val="right"/>
            </w:pPr>
            <w:r>
              <w:rPr>
                <w:sz w:val="20"/>
              </w:rPr>
              <w:t>0.80</w:t>
            </w:r>
          </w:p>
        </w:tc>
        <w:tc>
          <w:tcPr>
            <w:tcW w:type="dxa" w:w="1656"/>
            <w:vAlign w:val="center"/>
            <w:shd w:fill="F3F5F6"/>
          </w:tcPr>
          <w:p>
            <w:pPr>
              <w:spacing w:after="0" w:line="254" w:lineRule="auto"/>
              <w:jc w:val="right"/>
            </w:pPr>
            <w:r>
              <w:rPr>
                <w:sz w:val="20"/>
              </w:rPr>
              <w:t>0.60</w:t>
            </w:r>
          </w:p>
        </w:tc>
      </w:tr>
      <w:tr>
        <w:trPr>
          <w:cantSplit/>
        </w:trPr>
        <w:tc>
          <w:tcPr>
            <w:tcW w:type="dxa" w:w="3384"/>
            <w:vAlign w:val="center"/>
            <w:shd w:fill="FFFFFF"/>
          </w:tcPr>
          <w:p>
            <w:pPr>
              <w:spacing w:after="0" w:line="254" w:lineRule="auto"/>
            </w:pPr>
            <w:r>
              <w:rPr>
                <w:sz w:val="20"/>
              </w:rPr>
              <w:t>Tools and amortized local work</w:t>
            </w:r>
          </w:p>
        </w:tc>
        <w:tc>
          <w:tcPr>
            <w:tcW w:type="dxa" w:w="1800"/>
            <w:vAlign w:val="center"/>
            <w:shd w:fill="FFFFFF"/>
          </w:tcPr>
          <w:p>
            <w:pPr>
              <w:spacing w:after="0" w:line="254" w:lineRule="auto"/>
            </w:pPr>
            <w:r>
              <w:rPr>
                <w:sz w:val="20"/>
              </w:rPr>
              <w:t>Assumed</w:t>
            </w:r>
          </w:p>
        </w:tc>
        <w:tc>
          <w:tcPr>
            <w:tcW w:type="dxa" w:w="1800"/>
            <w:vAlign w:val="center"/>
            <w:shd w:fill="FFFFFF"/>
          </w:tcPr>
          <w:p>
            <w:pPr>
              <w:spacing w:after="0" w:line="254" w:lineRule="auto"/>
            </w:pPr>
            <w:r>
              <w:rPr>
                <w:sz w:val="20"/>
              </w:rPr>
              <w:t>Assumed</w:t>
            </w:r>
          </w:p>
        </w:tc>
        <w:tc>
          <w:tcPr>
            <w:tcW w:type="dxa" w:w="1584"/>
            <w:vAlign w:val="center"/>
            <w:shd w:fill="FFFFFF"/>
          </w:tcPr>
          <w:p>
            <w:pPr>
              <w:spacing w:after="0" w:line="254" w:lineRule="auto"/>
              <w:jc w:val="right"/>
            </w:pPr>
            <w:r>
              <w:rPr>
                <w:sz w:val="20"/>
              </w:rPr>
              <w:t>0.08</w:t>
            </w:r>
          </w:p>
        </w:tc>
        <w:tc>
          <w:tcPr>
            <w:tcW w:type="dxa" w:w="1656"/>
            <w:vAlign w:val="center"/>
            <w:shd w:fill="FFFFFF"/>
          </w:tcPr>
          <w:p>
            <w:pPr>
              <w:spacing w:after="0" w:line="254" w:lineRule="auto"/>
              <w:jc w:val="right"/>
            </w:pPr>
            <w:r>
              <w:rPr>
                <w:sz w:val="20"/>
              </w:rPr>
              <w:t>0.10</w:t>
            </w:r>
          </w:p>
        </w:tc>
      </w:tr>
      <w:tr>
        <w:trPr>
          <w:cantSplit/>
        </w:trPr>
        <w:tc>
          <w:tcPr>
            <w:tcW w:type="dxa" w:w="3384"/>
            <w:vAlign w:val="center"/>
            <w:shd w:fill="F3F5F6"/>
          </w:tcPr>
          <w:p>
            <w:pPr>
              <w:spacing w:after="0" w:line="254" w:lineRule="auto"/>
            </w:pPr>
            <w:r>
              <w:rPr>
                <w:sz w:val="20"/>
              </w:rPr>
              <w:t>Total per attempt</w:t>
            </w:r>
          </w:p>
        </w:tc>
        <w:tc>
          <w:tcPr>
            <w:tcW w:type="dxa" w:w="1800"/>
            <w:vAlign w:val="center"/>
            <w:shd w:fill="F3F5F6"/>
          </w:tcPr>
          <w:p>
            <w:pPr>
              <w:spacing w:after="0" w:line="254" w:lineRule="auto"/>
            </w:pPr>
            <w:r>
              <w:rPr>
                <w:sz w:val="20"/>
              </w:rPr>
            </w:r>
          </w:p>
        </w:tc>
        <w:tc>
          <w:tcPr>
            <w:tcW w:type="dxa" w:w="1800"/>
            <w:vAlign w:val="center"/>
            <w:shd w:fill="F3F5F6"/>
          </w:tcPr>
          <w:p>
            <w:pPr>
              <w:spacing w:after="0" w:line="254" w:lineRule="auto"/>
            </w:pPr>
            <w:r>
              <w:rPr>
                <w:sz w:val="20"/>
              </w:rPr>
            </w:r>
          </w:p>
        </w:tc>
        <w:tc>
          <w:tcPr>
            <w:tcW w:type="dxa" w:w="1584"/>
            <w:vAlign w:val="center"/>
            <w:shd w:fill="F3F5F6"/>
          </w:tcPr>
          <w:p>
            <w:pPr>
              <w:spacing w:after="0" w:line="254" w:lineRule="auto"/>
              <w:jc w:val="right"/>
            </w:pPr>
            <w:r>
              <w:rPr>
                <w:sz w:val="20"/>
              </w:rPr>
              <w:t>2.25</w:t>
            </w:r>
          </w:p>
        </w:tc>
        <w:tc>
          <w:tcPr>
            <w:tcW w:type="dxa" w:w="1656"/>
            <w:vAlign w:val="center"/>
            <w:shd w:fill="F3F5F6"/>
          </w:tcPr>
          <w:p>
            <w:pPr>
              <w:spacing w:after="0" w:line="254" w:lineRule="auto"/>
              <w:jc w:val="right"/>
            </w:pPr>
            <w:r>
              <w:rPr>
                <w:sz w:val="20"/>
              </w:rPr>
              <w:t>1.38</w:t>
            </w:r>
          </w:p>
        </w:tc>
      </w:tr>
    </w:tbl>
    <w:p>
      <w:pPr>
        <w:spacing w:after="40" w:before="0" w:line="48" w:lineRule="auto"/>
      </w:pPr>
      <w:r>
        <w:rPr>
          <w:sz w:val="4"/>
        </w:rPr>
      </w:r>
    </w:p>
    <w:p>
      <w:r>
        <w:t>At an assumed 80 accepted tasks out of 100 attempts in both arms, the totals would be $225 versus $138, or $2.81 versus $1.73 per accepted task. That is a 38.7 percent reduction. This calculation demonstrates the measurement method; none of these task volumes or success rates has been observed for RWC.</w:t>
      </w:r>
    </w:p>
    <w:p>
      <w:pPr>
        <w:pStyle w:val="Heading2"/>
      </w:pPr>
      <w:r>
        <w:t>The savings trap</w:t>
      </w:r>
    </w:p>
    <w:p>
      <w:r>
        <w:t>Removing 800000 cached input tokens at the example rate saves only $0.16. Adding $0.10 of indexing cost and 10000 extra output tokens costs $0.20. The supposedly leaner system is then $0.04 more expensive. A pruner that causes another planning or repair loop can erase its input savings.</w:t>
      </w:r>
    </w:p>
    <w:p>
      <w:r>
        <w:t>Provider prompt caching and TraceKite artifact caching solve different problems. Anthropic documents exact prefix matching, cache isolation and separate output generation. A cached TraceKite packet does not make its text free to send to a model, and a shorter tool result does not remove earlier conversation history.</w:t>
      </w:r>
      <w:r>
        <w:rPr>
          <w:vertAlign w:val="superscript"/>
        </w:rPr>
        <w:footnoteReference w:id="2"/>
      </w:r>
      <w:r/>
    </w:p>
    <w:p>
      <w:r>
        <w:t>For seat-based subscriptions, reduced token use may improve limits or throughput without lowering the invoice. The product must report observed provider usage and actual billing terms rather than translate every omitted byte into claimed customer savings.</w:t>
      </w:r>
    </w:p>
    <w:p>
      <w:pPr>
        <w:pStyle w:val="Heading1"/>
        <w:pageBreakBefore/>
      </w:pPr>
      <w:r>
        <w:t>Existing approaches and competitive implications</w:t>
      </w:r>
    </w:p>
    <w:p>
      <w:r>
        <w:t>The context layer is already competitive. The following are documented capabilities or author-reported research results, not independently reproduced comparisons. Public product descriptions do not establish what a competitor lacks internally.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2088"/>
        <w:gridCol w:w="4032"/>
        <w:gridCol w:w="4104"/>
      </w:tblGrid>
      <w:tr>
        <w:trPr>
          <w:cantSplit/>
          <w:tblHeader/>
        </w:trPr>
        <w:tc>
          <w:tcPr>
            <w:tcW w:type="dxa" w:w="2088"/>
            <w:vAlign w:val="center"/>
            <w:shd w:fill="303942"/>
          </w:tcPr>
          <w:p>
            <w:pPr>
              <w:spacing w:after="0" w:line="254" w:lineRule="auto"/>
            </w:pPr>
            <w:r>
              <w:rPr>
                <w:b/>
                <w:color w:val="FFFFFF"/>
                <w:sz w:val="20"/>
              </w:rPr>
              <w:t>Approach</w:t>
            </w:r>
          </w:p>
        </w:tc>
        <w:tc>
          <w:tcPr>
            <w:tcW w:type="dxa" w:w="4032"/>
            <w:vAlign w:val="center"/>
            <w:shd w:fill="303942"/>
          </w:tcPr>
          <w:p>
            <w:pPr>
              <w:spacing w:after="0" w:line="254" w:lineRule="auto"/>
            </w:pPr>
            <w:r>
              <w:rPr>
                <w:b/>
                <w:color w:val="FFFFFF"/>
                <w:sz w:val="20"/>
              </w:rPr>
              <w:t>Existing work</w:t>
            </w:r>
          </w:p>
        </w:tc>
        <w:tc>
          <w:tcPr>
            <w:tcW w:type="dxa" w:w="4104"/>
            <w:vAlign w:val="center"/>
            <w:shd w:fill="303942"/>
          </w:tcPr>
          <w:p>
            <w:pPr>
              <w:spacing w:after="0" w:line="254" w:lineRule="auto"/>
            </w:pPr>
            <w:r>
              <w:rPr>
                <w:b/>
                <w:color w:val="FFFFFF"/>
                <w:sz w:val="20"/>
              </w:rPr>
              <w:t>Implication for TraceKite</w:t>
            </w:r>
          </w:p>
        </w:tc>
      </w:tr>
      <w:tr>
        <w:trPr>
          <w:cantSplit/>
        </w:trPr>
        <w:tc>
          <w:tcPr>
            <w:tcW w:type="dxa" w:w="2088"/>
            <w:vAlign w:val="center"/>
            <w:shd w:fill="FFFFFF"/>
          </w:tcPr>
          <w:p>
            <w:pPr>
              <w:spacing w:after="0" w:line="254" w:lineRule="auto"/>
            </w:pPr>
            <w:r>
              <w:rPr>
                <w:sz w:val="20"/>
              </w:rPr>
              <w:t>Budgeted repository maps</w:t>
            </w:r>
          </w:p>
        </w:tc>
        <w:tc>
          <w:tcPr>
            <w:tcW w:type="dxa" w:w="4032"/>
            <w:vAlign w:val="center"/>
            <w:shd w:fill="FFFFFF"/>
          </w:tcPr>
          <w:p>
            <w:pPr>
              <w:spacing w:after="0" w:line="254" w:lineRule="auto"/>
            </w:pPr>
            <w:r>
              <w:rPr>
                <w:sz w:val="20"/>
              </w:rPr>
              <w:t>Aider ranks a file dependency graph and selects content under a token budget.</w:t>
            </w:r>
            <w:r>
              <w:rPr>
                <w:sz w:val="20"/>
                <w:vertAlign w:val="superscript"/>
              </w:rPr>
              <w:footnoteReference w:id="3"/>
            </w:r>
            <w:r>
              <w:rPr>
                <w:sz w:val="20"/>
              </w:rPr>
            </w:r>
          </w:p>
        </w:tc>
        <w:tc>
          <w:tcPr>
            <w:tcW w:type="dxa" w:w="4104"/>
            <w:vAlign w:val="center"/>
            <w:shd w:fill="FFFFFF"/>
          </w:tcPr>
          <w:p>
            <w:pPr>
              <w:spacing w:after="0" w:line="254" w:lineRule="auto"/>
            </w:pPr>
            <w:r>
              <w:rPr>
                <w:sz w:val="20"/>
              </w:rPr>
              <w:t>Graph ranking under a budget is a baseline, not the invention.</w:t>
            </w:r>
          </w:p>
        </w:tc>
      </w:tr>
      <w:tr>
        <w:trPr>
          <w:cantSplit/>
        </w:trPr>
        <w:tc>
          <w:tcPr>
            <w:tcW w:type="dxa" w:w="2088"/>
            <w:vAlign w:val="center"/>
            <w:shd w:fill="F3F5F6"/>
          </w:tcPr>
          <w:p>
            <w:pPr>
              <w:spacing w:after="0" w:line="254" w:lineRule="auto"/>
            </w:pPr>
            <w:r>
              <w:rPr>
                <w:sz w:val="20"/>
              </w:rPr>
              <w:t>Symbol level tools</w:t>
            </w:r>
          </w:p>
        </w:tc>
        <w:tc>
          <w:tcPr>
            <w:tcW w:type="dxa" w:w="4032"/>
            <w:vAlign w:val="center"/>
            <w:shd w:fill="F3F5F6"/>
          </w:tcPr>
          <w:p>
            <w:pPr>
              <w:spacing w:after="0" w:line="254" w:lineRule="auto"/>
            </w:pPr>
            <w:r>
              <w:rPr>
                <w:sz w:val="20"/>
              </w:rPr>
              <w:t>Serena offers semantic retrieval and editing through MCP.</w:t>
            </w:r>
            <w:r>
              <w:rPr>
                <w:sz w:val="20"/>
                <w:vertAlign w:val="superscript"/>
              </w:rPr>
              <w:footnoteReference w:id="4"/>
            </w:r>
            <w:r>
              <w:rPr>
                <w:sz w:val="20"/>
              </w:rPr>
            </w:r>
          </w:p>
        </w:tc>
        <w:tc>
          <w:tcPr>
            <w:tcW w:type="dxa" w:w="4104"/>
            <w:vAlign w:val="center"/>
            <w:shd w:fill="F3F5F6"/>
          </w:tcPr>
          <w:p>
            <w:pPr>
              <w:spacing w:after="0" w:line="254" w:lineRule="auto"/>
            </w:pPr>
            <w:r>
              <w:rPr>
                <w:sz w:val="20"/>
              </w:rPr>
              <w:t>Exact symbol access should be reused or interoperable, not rebuilt for differentiation alone.</w:t>
            </w:r>
          </w:p>
        </w:tc>
      </w:tr>
      <w:tr>
        <w:trPr>
          <w:cantSplit/>
        </w:trPr>
        <w:tc>
          <w:tcPr>
            <w:tcW w:type="dxa" w:w="2088"/>
            <w:vAlign w:val="center"/>
            <w:shd w:fill="FFFFFF"/>
          </w:tcPr>
          <w:p>
            <w:pPr>
              <w:spacing w:after="0" w:line="254" w:lineRule="auto"/>
            </w:pPr>
            <w:r>
              <w:rPr>
                <w:sz w:val="20"/>
              </w:rPr>
              <w:t>Live cross repository retrieval</w:t>
            </w:r>
          </w:p>
        </w:tc>
        <w:tc>
          <w:tcPr>
            <w:tcW w:type="dxa" w:w="4032"/>
            <w:vAlign w:val="center"/>
            <w:shd w:fill="FFFFFF"/>
          </w:tcPr>
          <w:p>
            <w:pPr>
              <w:spacing w:after="0" w:line="254" w:lineRule="auto"/>
            </w:pPr>
            <w:r>
              <w:rPr>
                <w:sz w:val="20"/>
              </w:rPr>
              <w:t>Augment documents relationship-aware context and local or remote MCP integration.</w:t>
            </w:r>
            <w:r>
              <w:rPr>
                <w:sz w:val="20"/>
                <w:vertAlign w:val="superscript"/>
              </w:rPr>
              <w:footnoteReference w:id="5"/>
            </w:r>
            <w:r>
              <w:rPr>
                <w:sz w:val="20"/>
              </w:rPr>
            </w:r>
          </w:p>
        </w:tc>
        <w:tc>
          <w:tcPr>
            <w:tcW w:type="dxa" w:w="4104"/>
            <w:vAlign w:val="center"/>
            <w:shd w:fill="FFFFFF"/>
          </w:tcPr>
          <w:p>
            <w:pPr>
              <w:spacing w:after="0" w:line="254" w:lineRule="auto"/>
            </w:pPr>
            <w:r>
              <w:rPr>
                <w:sz w:val="20"/>
              </w:rPr>
              <w:t>Cross-repository context and model-neutral access are already marketed.</w:t>
            </w:r>
          </w:p>
        </w:tc>
      </w:tr>
      <w:tr>
        <w:trPr>
          <w:cantSplit/>
        </w:trPr>
        <w:tc>
          <w:tcPr>
            <w:tcW w:type="dxa" w:w="2088"/>
            <w:vAlign w:val="center"/>
            <w:shd w:fill="F3F5F6"/>
          </w:tcPr>
          <w:p>
            <w:pPr>
              <w:spacing w:after="0" w:line="254" w:lineRule="auto"/>
            </w:pPr>
            <w:r>
              <w:rPr>
                <w:sz w:val="20"/>
              </w:rPr>
              <w:t>Learned context pruning</w:t>
            </w:r>
          </w:p>
        </w:tc>
        <w:tc>
          <w:tcPr>
            <w:tcW w:type="dxa" w:w="4032"/>
            <w:vAlign w:val="center"/>
            <w:shd w:fill="F3F5F6"/>
          </w:tcPr>
          <w:p>
            <w:pPr>
              <w:spacing w:after="0" w:line="254" w:lineRule="auto"/>
            </w:pPr>
            <w:r>
              <w:rPr>
                <w:sz w:val="20"/>
              </w:rPr>
              <w:t>SWE-Pruner reports task-aware line selection; SWE-Pruner Pro uses an agent's internal representations.</w:t>
            </w:r>
            <w:r>
              <w:rPr>
                <w:sz w:val="20"/>
                <w:vertAlign w:val="superscript"/>
              </w:rPr>
              <w:footnoteReference w:id="6"/>
            </w:r>
            <w:r>
              <w:rPr>
                <w:sz w:val="20"/>
              </w:rPr>
            </w:r>
          </w:p>
        </w:tc>
        <w:tc>
          <w:tcPr>
            <w:tcW w:type="dxa" w:w="4104"/>
            <w:vAlign w:val="center"/>
            <w:shd w:fill="F3F5F6"/>
          </w:tcPr>
          <w:p>
            <w:pPr>
              <w:spacing w:after="0" w:line="254" w:lineRule="auto"/>
            </w:pPr>
            <w:r>
              <w:rPr>
                <w:sz w:val="20"/>
              </w:rPr>
              <w:t>Neural pruning is a serious comparison arm, with its own inference and integration costs.</w:t>
            </w:r>
          </w:p>
        </w:tc>
      </w:tr>
      <w:tr>
        <w:trPr>
          <w:cantSplit/>
        </w:trPr>
        <w:tc>
          <w:tcPr>
            <w:tcW w:type="dxa" w:w="2088"/>
            <w:vAlign w:val="center"/>
            <w:shd w:fill="FFFFFF"/>
          </w:tcPr>
          <w:p>
            <w:pPr>
              <w:spacing w:after="0" w:line="254" w:lineRule="auto"/>
            </w:pPr>
            <w:r>
              <w:rPr>
                <w:sz w:val="20"/>
              </w:rPr>
              <w:t>Semantic and structural selection</w:t>
            </w:r>
          </w:p>
        </w:tc>
        <w:tc>
          <w:tcPr>
            <w:tcW w:type="dxa" w:w="4032"/>
            <w:vAlign w:val="center"/>
            <w:shd w:fill="FFFFFF"/>
          </w:tcPr>
          <w:p>
            <w:pPr>
              <w:spacing w:after="0" w:line="254" w:lineRule="auto"/>
            </w:pPr>
            <w:r>
              <w:rPr>
                <w:sz w:val="20"/>
              </w:rPr>
              <w:t>LaMR separately models semantic evidence and dependency support.</w:t>
            </w:r>
            <w:r>
              <w:rPr>
                <w:sz w:val="20"/>
                <w:vertAlign w:val="superscript"/>
              </w:rPr>
              <w:footnoteReference w:id="7"/>
            </w:r>
            <w:r>
              <w:rPr>
                <w:sz w:val="20"/>
              </w:rPr>
            </w:r>
          </w:p>
        </w:tc>
        <w:tc>
          <w:tcPr>
            <w:tcW w:type="dxa" w:w="4104"/>
            <w:vAlign w:val="center"/>
            <w:shd w:fill="FFFFFF"/>
          </w:tcPr>
          <w:p>
            <w:pPr>
              <w:spacing w:after="0" w:line="254" w:lineRule="auto"/>
            </w:pPr>
            <w:r>
              <w:rPr>
                <w:sz w:val="20"/>
              </w:rPr>
              <w:t>Combining relevance with dependency support is also prior art.</w:t>
            </w:r>
          </w:p>
        </w:tc>
      </w:tr>
    </w:tbl>
    <w:p>
      <w:pPr>
        <w:spacing w:after="40" w:before="0" w:line="48" w:lineRule="auto"/>
      </w:pPr>
      <w:r>
        <w:rPr>
          <w:sz w:val="4"/>
        </w:rPr>
      </w:r>
    </w:p>
    <w:p>
      <w:r>
        <w:t>SWE-Pruner reports 23–54 percent token reduction on its evaluated agent tasks. SWE-Pruner Pro reports savings up to 39 percent across its tested settings and relies on access to open-weight model internals. These are workload-specific author results; they do not imply equivalent invoice savings for TraceKite or applicability inside a closed model API.</w:t>
      </w:r>
    </w:p>
    <w:p>
      <w:r>
        <w:t>LaMR's dependency-support mechanism is particularly relevant to RWC. A comparison should ask whether explicitly retained derivations and invalidation guards add value beyond a learned selector that already considers code structure. Calling all competing tools similarity-only systems would be inaccurate.</w:t>
      </w:r>
    </w:p>
    <w:p>
      <w:r>
        <w:t>The initial implementation should therefore avoid training another compressor. First test whether TraceKite's existing source evidence can remove repeated discovery work. A learned selector is a later experiment only if a simple deterministic policy leaves a measurable opportunity.</w:t>
      </w:r>
    </w:p>
    <w:p>
      <w:pPr>
        <w:pStyle w:val="Heading1"/>
        <w:pageBreakBefore/>
      </w:pPr>
      <w:r>
        <w:t>Closest prior art and the proposed contribution</w:t>
      </w:r>
    </w:p>
    <w:p>
      <w:r>
        <w:t>Several public projects already describe much of the proposed product vocabulary. Qarinah documents proof-carrying task packets with hashes, citations, selection reasons, budgets and temporal status. Its documentation explicitly distinguishes inspectable selection from proof of truth or task correctness.</w:t>
      </w:r>
      <w:r>
        <w:rPr>
          <w:vertAlign w:val="superscript"/>
        </w:rPr>
        <w:footnoteReference w:id="8"/>
      </w:r>
      <w:r/>
    </w:p>
    <w:p>
      <w:r>
        <w:t>Grape documents dependency-tracked context artifacts, session-aware deltas, restoration and stale-context invalidation. Its current contract distinguishes exact-source proof from behavioral correctness and records incomplete retrieval. These capabilities overlap directly with a generic proposal for reusable context packets.</w:t>
      </w:r>
      <w:r>
        <w:rPr>
          <w:vertAlign w:val="superscript"/>
        </w:rPr>
        <w:footnoteReference w:id="9"/>
      </w:r>
      <w:r/>
    </w:p>
    <w:p>
      <w:r>
        <w:t>ContextOS describes compiled context as a materialized view of supported, missing, conflicting and omitted evidence, including decision obligations. This is direct conceptual prior art for obligation-aware context compilation, not a distant analogy.</w:t>
      </w:r>
      <w:r>
        <w:rPr>
          <w:vertAlign w:val="superscript"/>
        </w:rPr>
        <w:footnoteReference w:id="10"/>
      </w:r>
      <w:r/>
    </w:p>
    <w:p>
      <w:r>
        <w:t>Incremental reasoning also has established precedents. CodePlan combines dependency analysis, change-impact analysis and adaptive edit planning. Bazel shares content-addressed action results, while counterexample-guided abstraction refinement long predates coding agents.</w:t>
      </w:r>
      <w:r>
        <w:rPr>
          <w:vertAlign w:val="superscript"/>
        </w:rPr>
        <w:footnoteReference w:id="11"/>
      </w:r>
      <w:r/>
    </w:p>
    <w:p>
      <w:pPr>
        <w:pStyle w:val="Heading2"/>
      </w:pPr>
      <w:r>
        <w:t>The contribution worth investigating</w:t>
      </w:r>
    </w:p>
    <w:p>
      <w:r>
        <w:t xml:space="preserve">RWC should focus on a specific technical problem: </w:t>
      </w:r>
      <w:r>
        <w:rPr>
          <w:b/>
        </w:rPr>
        <w:t>maintaining a budgeted explanation of supported cross-repository queries when the matching evidence can change outside the files previously returned</w:t>
      </w:r>
      <w:r>
        <w:t>. Its domain is TraceKite's rendezvous joins across source and configuration, not arbitrary agent memory.</w:t>
      </w:r>
    </w:p>
    <w:p>
      <w:r>
        <w:t>The proposed design couples three mechanisms. It selects whole evidence bundles for declared questions. It records the candidate sets and configuration inputs whose changes could invalidate an answer. It replaces affected answers atomically while retaining unresolved and omitted obligations. Each mechanism must also be evaluated separately so a result does not hide behind a large system.</w:t>
      </w:r>
    </w:p>
    <w:p>
      <w:r>
        <w:t>The most revealing case is a newly added consumer. A cache watching only the old returned files can miss it. A cache keyed to the entire estate can detect it but discard too much work. RWC would track the relevant matching predicates and their generations, falling back to wider invalidation whenever those dependencies cannot be enumerated soundly.</w:t>
      </w:r>
    </w:p>
    <w:p>
      <w:r>
        <w:t xml:space="preserve">This is a </w:t>
      </w:r>
      <w:r>
        <w:rPr>
          <w:b/>
        </w:rPr>
        <w:t>systems research hypothesis</w:t>
      </w:r>
      <w:r>
        <w:t>, not a demonstrated new theorem. Query dependency tracking, set-cover-style selection and provenance are established building blocks. The useful claim to establish is a measured cost and correctness advantage for their carefully bounded application to cross-repository code changes.</w:t>
      </w:r>
    </w:p>
    <w:p>
      <w:pPr>
        <w:pStyle w:val="Heading2"/>
      </w:pPr>
      <w:r>
        <w:t>Bound the promise</w:t>
      </w:r>
    </w:p>
    <w:p>
      <w:r>
        <w:t>A receipt can establish that a result follows from a named snapshot under named rules. It cannot establish that an absent runtime dependency does not exist, that source text is trustworthy, or that the agent's patch is correct. Google Research's sufficient-context work also distinguishes relevant material from material that actually supports an answer; relevance alone is not a completion criterion.</w:t>
      </w:r>
      <w:r>
        <w:rPr>
          <w:vertAlign w:val="superscript"/>
        </w:rPr>
        <w:footnoteReference w:id="12"/>
      </w:r>
      <w:r/>
    </w:p>
    <w:p>
      <w:pPr>
        <w:pStyle w:val="Heading1"/>
        <w:pageBreakBefore/>
      </w:pPr>
      <w:r>
        <w:t>Current TraceKite foundation and architecture</w:t>
      </w:r>
    </w:p>
    <w:p>
      <w:r>
        <w:t xml:space="preserve">The current source provides useful foundations. </w:t>
      </w:r>
      <w:r>
        <w:rPr>
          <w:rFonts w:ascii="Courier New" w:hAnsi="Courier New"/>
          <w:sz w:val="20"/>
        </w:rPr>
        <w:t>AnswerEnvelope</w:t>
      </w:r>
      <w:r>
        <w:t xml:space="preserve"> carries status, snapshot, scope, completeness and freshness. Snapshot identity includes repository revisions and engine/configuration identity. The facade loads a graph once and answers subsequent queries from that in-memory state. These are building blocks for RWC, not evidence that RWC already exists.</w:t>
      </w:r>
      <w:r>
        <w:rPr>
          <w:vertAlign w:val="superscript"/>
        </w:rPr>
        <w:footnoteReference w:id="13"/>
      </w:r>
      <w:r/>
    </w:p>
    <w:p>
      <w:r>
        <w:t xml:space="preserve">The reviewed facade and MCP wrapper set freshness to </w:t>
      </w:r>
      <w:r>
        <w:rPr>
          <w:rFonts w:ascii="Courier New" w:hAnsi="Courier New"/>
          <w:sz w:val="20"/>
        </w:rPr>
        <w:t>UNKNOWN</w:t>
      </w:r>
      <w:r>
        <w:t>. The existing re-verification heuristic checks for a claim token near a cited line; it does not validate the complete provider, consumer and configuration derivation. Treat that diagnostic as a diagnostic. A changed method or binding can invalidate a relationship while leaving a familiar token in place.</w:t>
      </w:r>
    </w:p>
    <w:p>
      <w:r>
        <w:t>Snapshot identity is also not answer identity. Two different queries over the same snapshot can have different answers. A reusable answer key must additionally include canonical query parameters, scope, filters, limits and relevant policy. A rendered packet has another identity that includes its budget, representation policy and tokenizer version.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2088"/>
        <w:gridCol w:w="4320"/>
        <w:gridCol w:w="3816"/>
      </w:tblGrid>
      <w:tr>
        <w:trPr>
          <w:cantSplit/>
          <w:tblHeader/>
        </w:trPr>
        <w:tc>
          <w:tcPr>
            <w:tcW w:type="dxa" w:w="2088"/>
            <w:vAlign w:val="center"/>
            <w:shd w:fill="303942"/>
          </w:tcPr>
          <w:p>
            <w:pPr>
              <w:spacing w:after="0" w:line="254" w:lineRule="auto"/>
            </w:pPr>
            <w:r>
              <w:rPr>
                <w:b/>
                <w:color w:val="FFFFFF"/>
                <w:sz w:val="20"/>
              </w:rPr>
              <w:t>Layer</w:t>
            </w:r>
          </w:p>
        </w:tc>
        <w:tc>
          <w:tcPr>
            <w:tcW w:type="dxa" w:w="4320"/>
            <w:vAlign w:val="center"/>
            <w:shd w:fill="303942"/>
          </w:tcPr>
          <w:p>
            <w:pPr>
              <w:spacing w:after="0" w:line="254" w:lineRule="auto"/>
            </w:pPr>
            <w:r>
              <w:rPr>
                <w:b/>
                <w:color w:val="FFFFFF"/>
                <w:sz w:val="20"/>
              </w:rPr>
              <w:t>Responsibility in the proposal</w:t>
            </w:r>
          </w:p>
        </w:tc>
        <w:tc>
          <w:tcPr>
            <w:tcW w:type="dxa" w:w="3816"/>
            <w:vAlign w:val="center"/>
            <w:shd w:fill="303942"/>
          </w:tcPr>
          <w:p>
            <w:pPr>
              <w:spacing w:after="0" w:line="254" w:lineRule="auto"/>
            </w:pPr>
            <w:r>
              <w:rPr>
                <w:b/>
                <w:color w:val="FFFFFF"/>
                <w:sz w:val="20"/>
              </w:rPr>
              <w:t>Boundary</w:t>
            </w:r>
          </w:p>
        </w:tc>
      </w:tr>
      <w:tr>
        <w:trPr>
          <w:cantSplit/>
        </w:trPr>
        <w:tc>
          <w:tcPr>
            <w:tcW w:type="dxa" w:w="2088"/>
            <w:vAlign w:val="center"/>
            <w:shd w:fill="FFFFFF"/>
          </w:tcPr>
          <w:p>
            <w:pPr>
              <w:spacing w:after="0" w:line="254" w:lineRule="auto"/>
            </w:pPr>
            <w:r>
              <w:rPr>
                <w:sz w:val="20"/>
              </w:rPr>
              <w:t>Existing deterministic engine</w:t>
            </w:r>
          </w:p>
        </w:tc>
        <w:tc>
          <w:tcPr>
            <w:tcW w:type="dxa" w:w="4320"/>
            <w:vAlign w:val="center"/>
            <w:shd w:fill="FFFFFF"/>
          </w:tcPr>
          <w:p>
            <w:pPr>
              <w:spacing w:after="0" w:line="254" w:lineRule="auto"/>
            </w:pPr>
            <w:r>
              <w:rPr>
                <w:sz w:val="20"/>
              </w:rPr>
              <w:t>Claims, joins, typed graph answers and derivations</w:t>
            </w:r>
          </w:p>
        </w:tc>
        <w:tc>
          <w:tcPr>
            <w:tcW w:type="dxa" w:w="3816"/>
            <w:vAlign w:val="center"/>
            <w:shd w:fill="FFFFFF"/>
          </w:tcPr>
          <w:p>
            <w:pPr>
              <w:spacing w:after="0" w:line="254" w:lineRule="auto"/>
            </w:pPr>
            <w:r>
              <w:rPr>
                <w:sz w:val="20"/>
              </w:rPr>
              <w:t>Never let an LLM invent an authoritative edge.</w:t>
            </w:r>
          </w:p>
        </w:tc>
      </w:tr>
      <w:tr>
        <w:trPr>
          <w:cantSplit/>
        </w:trPr>
        <w:tc>
          <w:tcPr>
            <w:tcW w:type="dxa" w:w="2088"/>
            <w:vAlign w:val="center"/>
            <w:shd w:fill="F3F5F6"/>
          </w:tcPr>
          <w:p>
            <w:pPr>
              <w:spacing w:after="0" w:line="254" w:lineRule="auto"/>
            </w:pPr>
            <w:r>
              <w:rPr>
                <w:sz w:val="20"/>
              </w:rPr>
              <w:t>New pure query services</w:t>
            </w:r>
          </w:p>
        </w:tc>
        <w:tc>
          <w:tcPr>
            <w:tcW w:type="dxa" w:w="4320"/>
            <w:vAlign w:val="center"/>
            <w:shd w:fill="F3F5F6"/>
          </w:tcPr>
          <w:p>
            <w:pPr>
              <w:spacing w:after="0" w:line="254" w:lineRule="auto"/>
            </w:pPr>
            <w:r>
              <w:rPr>
                <w:sz w:val="20"/>
              </w:rPr>
              <w:t>Obligation results, evidence bundles and dependency manifests</w:t>
            </w:r>
          </w:p>
        </w:tc>
        <w:tc>
          <w:tcPr>
            <w:tcW w:type="dxa" w:w="3816"/>
            <w:vAlign w:val="center"/>
            <w:shd w:fill="F3F5F6"/>
          </w:tcPr>
          <w:p>
            <w:pPr>
              <w:spacing w:after="0" w:line="254" w:lineRule="auto"/>
            </w:pPr>
            <w:r>
              <w:rPr>
                <w:sz w:val="20"/>
              </w:rPr>
              <w:t>Accept explicit inputs; no filesystem, network or clock reads.</w:t>
            </w:r>
          </w:p>
        </w:tc>
      </w:tr>
      <w:tr>
        <w:trPr>
          <w:cantSplit/>
        </w:trPr>
        <w:tc>
          <w:tcPr>
            <w:tcW w:type="dxa" w:w="2088"/>
            <w:vAlign w:val="center"/>
            <w:shd w:fill="FFFFFF"/>
          </w:tcPr>
          <w:p>
            <w:pPr>
              <w:spacing w:after="0" w:line="254" w:lineRule="auto"/>
            </w:pPr>
            <w:r>
              <w:rPr>
                <w:sz w:val="20"/>
              </w:rPr>
              <w:t>Storage and boundary adapters</w:t>
            </w:r>
          </w:p>
        </w:tc>
        <w:tc>
          <w:tcPr>
            <w:tcW w:type="dxa" w:w="4320"/>
            <w:vAlign w:val="center"/>
            <w:shd w:fill="FFFFFF"/>
          </w:tcPr>
          <w:p>
            <w:pPr>
              <w:spacing w:after="0" w:line="254" w:lineRule="auto"/>
            </w:pPr>
            <w:r>
              <w:rPr>
                <w:sz w:val="20"/>
              </w:rPr>
              <w:t>Snapshot capture, refresh, content reads and atomic publication</w:t>
            </w:r>
          </w:p>
        </w:tc>
        <w:tc>
          <w:tcPr>
            <w:tcW w:type="dxa" w:w="3816"/>
            <w:vAlign w:val="center"/>
            <w:shd w:fill="FFFFFF"/>
          </w:tcPr>
          <w:p>
            <w:pPr>
              <w:spacing w:after="0" w:line="254" w:lineRule="auto"/>
            </w:pPr>
            <w:r>
              <w:rPr>
                <w:sz w:val="20"/>
              </w:rPr>
              <w:t>Reuse existing ports and artifact storage.</w:t>
            </w:r>
          </w:p>
        </w:tc>
      </w:tr>
      <w:tr>
        <w:trPr>
          <w:cantSplit/>
        </w:trPr>
        <w:tc>
          <w:tcPr>
            <w:tcW w:type="dxa" w:w="2088"/>
            <w:vAlign w:val="center"/>
            <w:shd w:fill="F3F5F6"/>
          </w:tcPr>
          <w:p>
            <w:pPr>
              <w:spacing w:after="0" w:line="254" w:lineRule="auto"/>
            </w:pPr>
            <w:r>
              <w:rPr>
                <w:sz w:val="20"/>
              </w:rPr>
              <w:t>Optional agent adapter</w:t>
            </w:r>
          </w:p>
        </w:tc>
        <w:tc>
          <w:tcPr>
            <w:tcW w:type="dxa" w:w="4320"/>
            <w:vAlign w:val="center"/>
            <w:shd w:fill="F3F5F6"/>
          </w:tcPr>
          <w:p>
            <w:pPr>
              <w:spacing w:after="0" w:line="254" w:lineRule="auto"/>
            </w:pPr>
            <w:r>
              <w:rPr>
                <w:sz w:val="20"/>
              </w:rPr>
              <w:t>Task interpretation, context selection, model calls and usage accounting</w:t>
            </w:r>
          </w:p>
        </w:tc>
        <w:tc>
          <w:tcPr>
            <w:tcW w:type="dxa" w:w="3816"/>
            <w:vAlign w:val="center"/>
            <w:shd w:fill="F3F5F6"/>
          </w:tcPr>
          <w:p>
            <w:pPr>
              <w:spacing w:after="0" w:line="254" w:lineRule="auto"/>
            </w:pPr>
            <w:r>
              <w:rPr>
                <w:sz w:val="20"/>
              </w:rPr>
              <w:t>Keep retrieval/ranking policy outside the normative core scope.</w:t>
            </w:r>
          </w:p>
        </w:tc>
      </w:tr>
    </w:tbl>
    <w:p>
      <w:pPr>
        <w:spacing w:after="40" w:before="0" w:line="48" w:lineRule="auto"/>
      </w:pPr>
      <w:r>
        <w:rPr>
          <w:sz w:val="4"/>
        </w:rPr>
      </w:r>
    </w:p>
    <w:p>
      <w:r>
        <w:t>The architecture and GOAL documents place general retrieval, ranking and agent decisions in hosts. Preserve that boundary: the pure engine produces evidence and query dependencies; a separately packaged adapter decides what to present to a model. Any decision to move general agent planning into core requires an explicit architecture change.</w:t>
      </w:r>
    </w:p>
    <w:p>
      <w:pPr>
        <w:pStyle w:val="Heading2"/>
      </w:pPr>
      <w:r>
        <w:t>Immediate engineering opportunities</w:t>
      </w:r>
    </w:p>
    <w:p>
      <w:r>
        <w:t xml:space="preserve">The MCP compatibility wrapper retains legacy result fields at the top level and includes them again under </w:t>
      </w:r>
      <w:r>
        <w:rPr>
          <w:rFonts w:ascii="Courier New" w:hAnsi="Courier New"/>
          <w:sz w:val="20"/>
        </w:rPr>
        <w:t>result</w:t>
      </w:r>
      <w:r>
        <w:t>. A negotiated compact response format could avoid duplication for new clients while preserving all warnings and source references. Measure this as a small optimization; it is not the central algorithm and must not break existing consumers.</w:t>
      </w:r>
    </w:p>
    <w:p>
      <w:r>
        <w:t>Before claiming current-source guarantees, add a coherent snapshot capture and revalidation boundary. File reads, metadata collection and source changes must not race into a mixed packet. Repository-qualified source identity must survive joins and serialization, including two repositories with identical relative paths.</w:t>
      </w:r>
    </w:p>
    <w:p>
      <w:r>
        <w:t>The existing release plan already contains receipts, bounded packs, incremental invalidation and optional host selection. Extend CTX-005, CTX-006, CTX-007, INT-004 and CTX-012 rather than create a competing implementation. The local contract check passed 41 tests across answer, facade and completeness tests; this is not an agent-cost or runtime-accuracy benchmark.</w:t>
      </w:r>
    </w:p>
    <w:p>
      <w:pPr>
        <w:pStyle w:val="Heading1"/>
        <w:pageBreakBefore/>
      </w:pPr>
      <w:r>
        <w:t>Algorithm inputs and evidence obligations</w:t>
      </w:r>
    </w:p>
    <w:p>
      <w:r>
        <w:t>RWC receives a typed request, immutable snapshot, explicit repository scope, host policy and context budget. The host interprets the task. Model-selected targets remain candidates until exact resolution succeeds; ambiguity remains an answer state.</w:t>
      </w:r>
    </w:p>
    <w:p>
      <w:r>
        <w:t xml:space="preserve">An </w:t>
      </w:r>
      <w:r>
        <w:rPr>
          <w:b/>
        </w:rPr>
        <w:t>obligation</w:t>
      </w:r>
      <w:r>
        <w:t xml:space="preserve"> is a question the packet must address, not a prediction about everything needed to solve the task. For an endpoint migration, a reviewed template can require the current provider contract, observed consumers, the configuration chain, relevant coverage gaps and exact source for the intended edit. Runtime compatibility and final test acceptance remain separate obligations owned by the host.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2088"/>
        <w:gridCol w:w="4032"/>
        <w:gridCol w:w="4104"/>
      </w:tblGrid>
      <w:tr>
        <w:trPr>
          <w:cantSplit/>
          <w:tblHeader/>
        </w:trPr>
        <w:tc>
          <w:tcPr>
            <w:tcW w:type="dxa" w:w="2088"/>
            <w:vAlign w:val="center"/>
            <w:shd w:fill="303942"/>
          </w:tcPr>
          <w:p>
            <w:pPr>
              <w:spacing w:after="0" w:line="254" w:lineRule="auto"/>
            </w:pPr>
            <w:r>
              <w:rPr>
                <w:b/>
                <w:color w:val="FFFFFF"/>
                <w:sz w:val="20"/>
              </w:rPr>
              <w:t>Obligation</w:t>
            </w:r>
          </w:p>
        </w:tc>
        <w:tc>
          <w:tcPr>
            <w:tcW w:type="dxa" w:w="4032"/>
            <w:vAlign w:val="center"/>
            <w:shd w:fill="303942"/>
          </w:tcPr>
          <w:p>
            <w:pPr>
              <w:spacing w:after="0" w:line="254" w:lineRule="auto"/>
            </w:pPr>
            <w:r>
              <w:rPr>
                <w:b/>
                <w:color w:val="FFFFFF"/>
                <w:sz w:val="20"/>
              </w:rPr>
              <w:t>Acceptable evidence</w:t>
            </w:r>
          </w:p>
        </w:tc>
        <w:tc>
          <w:tcPr>
            <w:tcW w:type="dxa" w:w="4104"/>
            <w:vAlign w:val="center"/>
            <w:shd w:fill="303942"/>
          </w:tcPr>
          <w:p>
            <w:pPr>
              <w:spacing w:after="0" w:line="254" w:lineRule="auto"/>
            </w:pPr>
            <w:r>
              <w:rPr>
                <w:b/>
                <w:color w:val="FFFFFF"/>
                <w:sz w:val="20"/>
              </w:rPr>
              <w:t>What does not satisfy it</w:t>
            </w:r>
          </w:p>
        </w:tc>
      </w:tr>
      <w:tr>
        <w:trPr>
          <w:cantSplit/>
        </w:trPr>
        <w:tc>
          <w:tcPr>
            <w:tcW w:type="dxa" w:w="2088"/>
            <w:vAlign w:val="center"/>
            <w:shd w:fill="FFFFFF"/>
          </w:tcPr>
          <w:p>
            <w:pPr>
              <w:spacing w:after="0" w:line="254" w:lineRule="auto"/>
            </w:pPr>
            <w:r>
              <w:rPr>
                <w:sz w:val="20"/>
              </w:rPr>
              <w:t>Identify the provider</w:t>
            </w:r>
          </w:p>
        </w:tc>
        <w:tc>
          <w:tcPr>
            <w:tcW w:type="dxa" w:w="4032"/>
            <w:vAlign w:val="center"/>
            <w:shd w:fill="FFFFFF"/>
          </w:tcPr>
          <w:p>
            <w:pPr>
              <w:spacing w:after="0" w:line="254" w:lineRule="auto"/>
            </w:pPr>
            <w:r>
              <w:rPr>
                <w:sz w:val="20"/>
              </w:rPr>
              <w:t>Current canonical identity plus source citation</w:t>
            </w:r>
          </w:p>
        </w:tc>
        <w:tc>
          <w:tcPr>
            <w:tcW w:type="dxa" w:w="4104"/>
            <w:vAlign w:val="center"/>
            <w:shd w:fill="FFFFFF"/>
          </w:tcPr>
          <w:p>
            <w:pPr>
              <w:spacing w:after="0" w:line="254" w:lineRule="auto"/>
            </w:pPr>
            <w:r>
              <w:rPr>
                <w:sz w:val="20"/>
              </w:rPr>
              <w:t>A guessed service name</w:t>
            </w:r>
          </w:p>
        </w:tc>
      </w:tr>
      <w:tr>
        <w:trPr>
          <w:cantSplit/>
        </w:trPr>
        <w:tc>
          <w:tcPr>
            <w:tcW w:type="dxa" w:w="2088"/>
            <w:vAlign w:val="center"/>
            <w:shd w:fill="F3F5F6"/>
          </w:tcPr>
          <w:p>
            <w:pPr>
              <w:spacing w:after="0" w:line="254" w:lineRule="auto"/>
            </w:pPr>
            <w:r>
              <w:rPr>
                <w:sz w:val="20"/>
              </w:rPr>
              <w:t>List observed consumers</w:t>
            </w:r>
          </w:p>
        </w:tc>
        <w:tc>
          <w:tcPr>
            <w:tcW w:type="dxa" w:w="4032"/>
            <w:vAlign w:val="center"/>
            <w:shd w:fill="F3F5F6"/>
          </w:tcPr>
          <w:p>
            <w:pPr>
              <w:spacing w:after="0" w:line="254" w:lineRule="auto"/>
            </w:pPr>
            <w:r>
              <w:rPr>
                <w:sz w:val="20"/>
              </w:rPr>
              <w:t>Supported query result with scope and truncation</w:t>
            </w:r>
          </w:p>
        </w:tc>
        <w:tc>
          <w:tcPr>
            <w:tcW w:type="dxa" w:w="4104"/>
            <w:vAlign w:val="center"/>
            <w:shd w:fill="F3F5F6"/>
          </w:tcPr>
          <w:p>
            <w:pPr>
              <w:spacing w:after="0" w:line="254" w:lineRule="auto"/>
            </w:pPr>
            <w:r>
              <w:rPr>
                <w:sz w:val="20"/>
              </w:rPr>
              <w:t>An empty list without coverage information</w:t>
            </w:r>
          </w:p>
        </w:tc>
      </w:tr>
      <w:tr>
        <w:trPr>
          <w:cantSplit/>
        </w:trPr>
        <w:tc>
          <w:tcPr>
            <w:tcW w:type="dxa" w:w="2088"/>
            <w:vAlign w:val="center"/>
            <w:shd w:fill="FFFFFF"/>
          </w:tcPr>
          <w:p>
            <w:pPr>
              <w:spacing w:after="0" w:line="254" w:lineRule="auto"/>
            </w:pPr>
            <w:r>
              <w:rPr>
                <w:sz w:val="20"/>
              </w:rPr>
              <w:t>Explain a connection</w:t>
            </w:r>
          </w:p>
        </w:tc>
        <w:tc>
          <w:tcPr>
            <w:tcW w:type="dxa" w:w="4032"/>
            <w:vAlign w:val="center"/>
            <w:shd w:fill="FFFFFF"/>
          </w:tcPr>
          <w:p>
            <w:pPr>
              <w:spacing w:after="0" w:line="254" w:lineRule="auto"/>
            </w:pPr>
            <w:r>
              <w:rPr>
                <w:sz w:val="20"/>
              </w:rPr>
              <w:t>Consumer, provider and binding derivation</w:t>
            </w:r>
          </w:p>
        </w:tc>
        <w:tc>
          <w:tcPr>
            <w:tcW w:type="dxa" w:w="4104"/>
            <w:vAlign w:val="center"/>
            <w:shd w:fill="FFFFFF"/>
          </w:tcPr>
          <w:p>
            <w:pPr>
              <w:spacing w:after="0" w:line="254" w:lineRule="auto"/>
            </w:pPr>
            <w:r>
              <w:rPr>
                <w:sz w:val="20"/>
              </w:rPr>
              <w:t>A nearby import or a confidence score alone</w:t>
            </w:r>
          </w:p>
        </w:tc>
      </w:tr>
      <w:tr>
        <w:trPr>
          <w:cantSplit/>
        </w:trPr>
        <w:tc>
          <w:tcPr>
            <w:tcW w:type="dxa" w:w="2088"/>
            <w:vAlign w:val="center"/>
            <w:shd w:fill="F3F5F6"/>
          </w:tcPr>
          <w:p>
            <w:pPr>
              <w:spacing w:after="0" w:line="254" w:lineRule="auto"/>
            </w:pPr>
            <w:r>
              <w:rPr>
                <w:sz w:val="20"/>
              </w:rPr>
              <w:t>Inspect the edit target</w:t>
            </w:r>
          </w:p>
        </w:tc>
        <w:tc>
          <w:tcPr>
            <w:tcW w:type="dxa" w:w="4032"/>
            <w:vAlign w:val="center"/>
            <w:shd w:fill="F3F5F6"/>
          </w:tcPr>
          <w:p>
            <w:pPr>
              <w:spacing w:after="0" w:line="254" w:lineRule="auto"/>
            </w:pPr>
            <w:r>
              <w:rPr>
                <w:sz w:val="20"/>
              </w:rPr>
              <w:t>Current exact source at an authorized span</w:t>
            </w:r>
          </w:p>
        </w:tc>
        <w:tc>
          <w:tcPr>
            <w:tcW w:type="dxa" w:w="4104"/>
            <w:vAlign w:val="center"/>
            <w:shd w:fill="F3F5F6"/>
          </w:tcPr>
          <w:p>
            <w:pPr>
              <w:spacing w:after="0" w:line="254" w:lineRule="auto"/>
            </w:pPr>
            <w:r>
              <w:rPr>
                <w:sz w:val="20"/>
              </w:rPr>
              <w:t>A signature or generated summary alone</w:t>
            </w:r>
          </w:p>
        </w:tc>
      </w:tr>
      <w:tr>
        <w:trPr>
          <w:cantSplit/>
        </w:trPr>
        <w:tc>
          <w:tcPr>
            <w:tcW w:type="dxa" w:w="2088"/>
            <w:vAlign w:val="center"/>
            <w:shd w:fill="FFFFFF"/>
          </w:tcPr>
          <w:p>
            <w:pPr>
              <w:spacing w:after="0" w:line="254" w:lineRule="auto"/>
            </w:pPr>
            <w:r>
              <w:rPr>
                <w:sz w:val="20"/>
              </w:rPr>
              <w:t>Validate the change</w:t>
            </w:r>
          </w:p>
        </w:tc>
        <w:tc>
          <w:tcPr>
            <w:tcW w:type="dxa" w:w="4032"/>
            <w:vAlign w:val="center"/>
            <w:shd w:fill="FFFFFF"/>
          </w:tcPr>
          <w:p>
            <w:pPr>
              <w:spacing w:after="0" w:line="254" w:lineRule="auto"/>
            </w:pPr>
            <w:r>
              <w:rPr>
                <w:sz w:val="20"/>
              </w:rPr>
              <w:t>Named checks against the exact candidate revision</w:t>
            </w:r>
          </w:p>
        </w:tc>
        <w:tc>
          <w:tcPr>
            <w:tcW w:type="dxa" w:w="4104"/>
            <w:vAlign w:val="center"/>
            <w:shd w:fill="FFFFFF"/>
          </w:tcPr>
          <w:p>
            <w:pPr>
              <w:spacing w:after="0" w:line="254" w:lineRule="auto"/>
            </w:pPr>
            <w:r>
              <w:rPr>
                <w:sz w:val="20"/>
              </w:rPr>
              <w:t>Presence of a test file or an agent saying done</w:t>
            </w:r>
          </w:p>
        </w:tc>
      </w:tr>
    </w:tbl>
    <w:p>
      <w:pPr>
        <w:spacing w:after="40" w:before="0" w:line="48" w:lineRule="auto"/>
      </w:pPr>
      <w:r>
        <w:rPr>
          <w:sz w:val="4"/>
        </w:rPr>
      </w:r>
    </w:p>
    <w:p>
      <w:pPr>
        <w:pStyle w:val="Heading2"/>
      </w:pPr>
      <w:r>
        <w:t>Evidence as bundles</w:t>
      </w:r>
    </w:p>
    <w:p>
      <w:r>
        <w:t>Represent derivations as a directed acyclic graph of facts and their supporting inputs. A cross-repository connection may require several premises together; model that as a bundle rather than rank each line independently. If a required configuration premise disappears, that particular derivation no longer supports the assertion.</w:t>
      </w:r>
    </w:p>
    <w:p>
      <w:r>
        <w:t>Deduplicate shared premises. Ten consumers may share one gateway rule, so the packet need not repeat the rule ten times. Preserve alternative derivations where the resolver actually supports them. Do not turn ambiguity into a chosen provider, and do not remove a connection simply because one of several valid derivations changed.</w:t>
      </w:r>
    </w:p>
    <w:p>
      <w:r>
        <w:t xml:space="preserve">Each obligation has an explicit result state such as </w:t>
      </w:r>
      <w:r>
        <w:rPr>
          <w:rFonts w:ascii="Courier New" w:hAnsi="Courier New"/>
          <w:sz w:val="20"/>
        </w:rPr>
        <w:t>supported</w:t>
      </w:r>
      <w:r>
        <w:t xml:space="preserve">, </w:t>
      </w:r>
      <w:r>
        <w:rPr>
          <w:rFonts w:ascii="Courier New" w:hAnsi="Courier New"/>
          <w:sz w:val="20"/>
        </w:rPr>
        <w:t>known_empty_in_scope</w:t>
      </w:r>
      <w:r>
        <w:t xml:space="preserve">, </w:t>
      </w:r>
      <w:r>
        <w:rPr>
          <w:rFonts w:ascii="Courier New" w:hAnsi="Courier New"/>
          <w:sz w:val="20"/>
        </w:rPr>
        <w:t>ambiguous</w:t>
      </w:r>
      <w:r>
        <w:t xml:space="preserve">, </w:t>
      </w:r>
      <w:r>
        <w:rPr>
          <w:rFonts w:ascii="Courier New" w:hAnsi="Courier New"/>
          <w:sz w:val="20"/>
        </w:rPr>
        <w:t>unavailable</w:t>
      </w:r>
      <w:r>
        <w:t xml:space="preserve"> or </w:t>
      </w:r>
      <w:r>
        <w:rPr>
          <w:rFonts w:ascii="Courier New" w:hAnsi="Courier New"/>
          <w:sz w:val="20"/>
        </w:rPr>
        <w:t>needs_more_evidence</w:t>
      </w:r>
      <w:r>
        <w:t xml:space="preserve">. The adapter must also represent </w:t>
      </w:r>
      <w:r>
        <w:rPr>
          <w:rFonts w:ascii="Courier New" w:hAnsi="Courier New"/>
          <w:sz w:val="20"/>
        </w:rPr>
        <w:t>budget_exceeded</w:t>
      </w:r>
      <w:r>
        <w:t xml:space="preserve"> and </w:t>
      </w:r>
      <w:r>
        <w:rPr>
          <w:rFonts w:ascii="Courier New" w:hAnsi="Courier New"/>
          <w:sz w:val="20"/>
        </w:rPr>
        <w:t>omitted</w:t>
      </w:r>
      <w:r>
        <w:t>. An unresolved mandatory obligation can be displayed truthfully, but it does not become satisfied because its warning fits inside the prompt.</w:t>
      </w:r>
    </w:p>
    <w:p>
      <w:pPr>
        <w:pStyle w:val="Heading2"/>
      </w:pPr>
      <w:r>
        <w:t>A limited correctness target</w:t>
      </w:r>
    </w:p>
    <w:p>
      <w:r>
        <w:t>For supported typed queries, require every asserted result and its status to agree with the canonical query on the pinned snapshot. A validator checks derivation dependencies and source identities. Agreement with the same parser is not independent semantic validation: a reproducible extraction error can pass this check. The target concerns the represented query result, not completeness of program behavior or sufficiency for an arbitrary coding task.</w:t>
      </w:r>
    </w:p>
    <w:p>
      <w:r>
        <w:t>No finite graph certifies that all omitted code is irrelevant to arbitrary tasks. Unsupported patterns, dynamic dispatch, runtime discovery, missing repositories and hidden configuration remain explicit. High-risk changes require broader inspection or review; a packet does not authorize action.</w:t>
      </w:r>
    </w:p>
    <w:p>
      <w:pPr>
        <w:pStyle w:val="Heading1"/>
        <w:pageBreakBefore/>
      </w:pPr>
      <w:r>
        <w:t>Budgeted witness selection and refinement</w:t>
      </w:r>
    </w:p>
    <w:p>
      <w:r>
        <w:t>Reject budgets below the protocol's minimum envelope size. Reserve space for identity, scope, statuses, freshness and omissions before selecting optional content. Pin applicable trusted instructions and exact edit-target source according to host policy. Count the complete serialized payload with a versioned model tokenizer where available; otherwise label the estimate and keep a conservative margin.</w:t>
      </w:r>
    </w:p>
    <w:p>
      <w:r>
        <w:t>The initial selector should be deterministic. Use a reviewed task template to assign obligation priorities, then choose evidence bundles by the additional obligations they address per additional serialized token. Shared evidence is charged once. Confidence may be exposed with its statistical basis, but must not be multiplied into a fictitious per-fact probability of truth.</w:t>
      </w:r>
    </w:p>
    <w:p>
      <w:pPr>
        <w:pStyle w:val="Program"/>
      </w:pPr>
      <w:r>
        <w:t>compile(request, snapshot, policy, budget):</w:t>
        <w:br/>
        <w:t xml:space="preserve">    obligations = instantiate_reviewed_template(request, policy)</w:t>
        <w:br/>
        <w:t xml:space="preserve">    answers, witnesses, guards = query_engine(snapshot, obligations)</w:t>
        <w:br/>
        <w:t xml:space="preserve">    packet = mandatory_identity_status_and_gap_fields(answers)</w:t>
        <w:br/>
        <w:t xml:space="preserve">    pin_required_source_and_rules(packet, policy)</w:t>
        <w:br/>
        <w:t xml:space="preserve">    if measured_tokens(packet) &gt; budget:</w:t>
        <w:br/>
        <w:t xml:space="preserve">        return budget_exceeded_with_required_size()</w:t>
        <w:br/>
        <w:t xml:space="preserve">    while an unselected bundle with positive obligation gain fits:</w:t>
        <w:br/>
        <w:t xml:space="preserve">        bundle = best_marginal_obligation_value_per_token()</w:t>
        <w:br/>
        <w:t xml:space="preserve">        add_bundle_and_all_required_premises(packet, bundle)</w:t>
        <w:br/>
        <w:t xml:space="preserve">    packet = fit_with_omissions_and_support_closure(packet, budget)</w:t>
        <w:br/>
        <w:t xml:space="preserve">    return validate_or_budget_error(packet, witnesses, guards)</w:t>
      </w:r>
    </w:p>
    <w:p>
      <w:r>
        <w:t>This is a constrained, set-cover-style heuristic, not a claim of globally minimum context. Use canonical tie-breaking and a bounded candidate pool. Finalization serializes omissions and supporting metadata, recounts tokens, then removes an optional bundle and recomputes support closure and omissions until the packet fits. Each iteration removes a bundle, so it terminates. If mandatory content and omission metadata alone exceed the budget, return an explicit budget error. Never drop a premise still required by a retained claim.</w:t>
      </w:r>
    </w:p>
    <w:p>
      <w:pPr>
        <w:pStyle w:val="Heading2"/>
      </w:pPr>
      <w:r>
        <w:t>Progressive source disclosure</w:t>
      </w:r>
    </w:p>
    <w:p>
      <w:r>
        <w:t>Allow four representations: a navigation index, a typed fact with citations, the exact supporting excerpt, and the surrounding source needed to edit. Structural questions may be answered by typed facts. Behavioral changes usually require implementation bodies and applicable surrounding constraints. A generated summary is never a substitute for exact source at a protected edit site.</w:t>
      </w:r>
    </w:p>
    <w:p>
      <w:r>
        <w:t>If an agent requests a missing body, a verifier finds a stale premise, or a test failure identifies a new relevant location, the adapter opens a specific obligation and recompiles. A diagnostic location is evidence for further inspection, not proof of root cause. An LLM can propose a new question but cannot promote its own answer into the authoritative graph.</w:t>
      </w:r>
    </w:p>
    <w:p>
      <w:pPr>
        <w:pStyle w:val="Heading2"/>
      </w:pPr>
      <w:r>
        <w:t>Stop conditions</w:t>
      </w:r>
    </w:p>
    <w:p>
      <w:r>
        <w:t>Return an explicit incomplete result when the required context cannot fit, the scope cannot be resolved, or the retrieval allowance is exhausted. The host may approve a larger budget, widen the search, or stop. The compiler must not buy a better completion rate by silently exceeding the budget.</w:t>
      </w:r>
    </w:p>
    <w:p>
      <w:r>
        <w:t>Begin without an LLM in the compilation path. Later experiments may estimate the value of another retrieval, but must charge the estimator's own cost and keep hard evidence requirements intact. Learning belongs in a versioned adapter policy, not inside deterministic edge creation.</w:t>
      </w:r>
    </w:p>
    <w:p>
      <w:pPr>
        <w:pStyle w:val="Heading1"/>
        <w:pageBreakBefore/>
      </w:pPr>
      <w:r>
        <w:t>Incremental revalidation and newly appearing evidence</w:t>
      </w:r>
    </w:p>
    <w:p>
      <w:r>
        <w:t>The difficult cache problem is not detecting a changed returned file. It is detecting a change that creates a new answer. Suppose a packet lists two consumers of a contract. A third repository later adds a consumer. None of the two old call sites changed, yet the previous result set is no longer current.</w:t>
      </w:r>
    </w:p>
    <w:p>
      <w:r>
        <w:t xml:space="preserve">RWC should record both its </w:t>
      </w:r>
      <w:r>
        <w:rPr>
          <w:b/>
        </w:rPr>
        <w:t>read dependencies</w:t>
      </w:r>
      <w:r>
        <w:t xml:space="preserve"> and its </w:t>
      </w:r>
      <w:r>
        <w:rPr>
          <w:b/>
        </w:rPr>
        <w:t>matching dependencies</w:t>
      </w:r>
      <w:r>
        <w:t>. Read dependencies identify exact claims, source content and configuration premises. Matching dependencies identify the query predicates and candidate sets that could add, remove or disambiguate results. Watching a currently empty candidate set is essential when absence or uniqueness influenced the answer.</w:t>
      </w:r>
    </w:p>
    <w:p>
      <w:pPr>
        <w:pStyle w:val="Heading2"/>
      </w:pPr>
      <w:r>
        <w:t>A candidate manifest</w:t>
      </w:r>
    </w:p>
    <w:p>
      <w:r>
        <w:t>The manifest should bind the query, expected repository inventory, snapshot, parser/resolver versions, configuration identity and authorization scope. Record the rendezvous buckets, alias/gateway inputs, coverage and generations of consulted sets. Packet selection also depends on unselected candidates: changes to their ranking inputs, selection policy or tokenizer must trigger reselection even if already returned facts remain valid.</w:t>
      </w:r>
    </w:p>
    <w:p>
      <w:r>
        <w:t>On a source update, compute changed facts and changed matching sets, then invalidate their dependent answers. An unrelated README edit can leave a particular relationship answer reusable. A new call site in a watched bucket must invalidate the consumer list. A new repository must invalidate an estate-wide inventory assumption even if no old artifact changed.</w:t>
      </w:r>
    </w:p>
    <w:p>
      <w:pPr>
        <w:pStyle w:val="Heading2"/>
      </w:pPr>
      <w:r>
        <w:t>Conservative handling of difficult queries</w:t>
      </w:r>
    </w:p>
    <w:p>
      <w:r>
        <w:t>Exact-key watches are insufficient for prefix routing, wildcard matching, alias changes and environment substitution. Those operations need dependency tracking for their actual query predicates or a wider namespace/configuration generation. When dependency tracking is incomplete, invalidate the whole affected query or snapshot. Correct coarse invalidation is preferable to selective reuse that misses a new match.</w:t>
      </w:r>
    </w:p>
    <w:p>
      <w:r>
        <w:t>If a dependency changes, re-run the relevant query. The output may remain identical because an alternative witness still supports it. A generation change is a reason to revalidate, not proof that the relationship disappeared. Large configuration changes may require broad recomputation; no sublinear worst-case guarantee is proposed.</w:t>
      </w:r>
    </w:p>
    <w:p>
      <w:pPr>
        <w:pStyle w:val="Heading2"/>
      </w:pPr>
      <w:r>
        <w:t>Atomic replacement</w:t>
      </w:r>
    </w:p>
    <w:p>
      <w:r>
        <w:t>Parse captured immutable bytes and bind their digests to the artifact; never hash one version and parse another. Claim a coherent working-tree snapshot only with an actual filesystem snapshot, a cooperating writer lock, or reliable monotonic change generations. A before/after hash comparison can miss an edit-and-revert cycle. Without coherence evidence, report unverifiable. Publish one explicitly identified repository revision vector per packet.</w:t>
      </w:r>
    </w:p>
    <w:p>
      <w:r>
        <w:t>A host session uses a base packet ID and an epoch to apply replacements. Missing base packets, branch changes, compaction or session resets require rehydration. A receipt stored on disk does not imply its contents are still visible to the model. Reuse validated result bodies under a new envelope when the snapshot changes; never relabel or overwrite an immutable old receipt. Publication, cache eviction, authorization changes and read failures all need explicit behavior.</w:t>
      </w:r>
    </w:p>
    <w:p>
      <w:r>
        <w:t>Under the stated dependency-tracking assumptions, unchanged guards permit reuse of that typed query's result. This is the proposed invariant to test. It is not a guarantee about the entire program, and it is not satisfied by hashes of the previously selected excerpts alone.</w:t>
      </w:r>
    </w:p>
    <w:p>
      <w:pPr>
        <w:pStyle w:val="Heading1"/>
        <w:pageBreakBefore/>
      </w:pPr>
      <w:r>
        <w:t>Example of an endpoint migration</w:t>
      </w:r>
    </w:p>
    <w:p>
      <w:r>
        <w:t xml:space="preserve">Consider an illustrative estate with an orders service, a web application, a billing worker and a gateway configuration repository. The task is to migrate callers from </w:t>
      </w:r>
      <w:r>
        <w:rPr>
          <w:rFonts w:ascii="Courier New" w:hAnsi="Courier New"/>
          <w:sz w:val="20"/>
        </w:rPr>
        <w:t>/v1/orders/{id}</w:t>
      </w:r>
      <w:r>
        <w:t xml:space="preserve"> to </w:t>
      </w:r>
      <w:r>
        <w:rPr>
          <w:rFonts w:ascii="Courier New" w:hAnsi="Courier New"/>
          <w:sz w:val="20"/>
        </w:rPr>
        <w:t>/v2/orders/{id}</w:t>
      </w:r>
      <w:r>
        <w:t>. The identifiers and paths in this example are invented to explain the proposed interface; they do not describe the current TraceKite checkout.</w:t>
      </w:r>
    </w:p>
    <w:p>
      <w:r>
        <w:t>The provider route alone is insufficient. The web application may call a gateway prefix, and the worker may obtain its host from configuration. TraceKite's supported joins should establish the connections before the model attempts to reason about which source to change. A runtime-discovered client remains a coverage gap unless separately observed.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2088"/>
        <w:gridCol w:w="4032"/>
        <w:gridCol w:w="4104"/>
      </w:tblGrid>
      <w:tr>
        <w:trPr>
          <w:cantSplit/>
          <w:tblHeader/>
        </w:trPr>
        <w:tc>
          <w:tcPr>
            <w:tcW w:type="dxa" w:w="2088"/>
            <w:vAlign w:val="center"/>
            <w:shd w:fill="303942"/>
          </w:tcPr>
          <w:p>
            <w:pPr>
              <w:spacing w:after="0" w:line="254" w:lineRule="auto"/>
            </w:pPr>
            <w:r>
              <w:rPr>
                <w:b/>
                <w:color w:val="FFFFFF"/>
                <w:sz w:val="20"/>
              </w:rPr>
              <w:t>Stage</w:t>
            </w:r>
          </w:p>
        </w:tc>
        <w:tc>
          <w:tcPr>
            <w:tcW w:type="dxa" w:w="4032"/>
            <w:vAlign w:val="center"/>
            <w:shd w:fill="303942"/>
          </w:tcPr>
          <w:p>
            <w:pPr>
              <w:spacing w:after="0" w:line="254" w:lineRule="auto"/>
            </w:pPr>
            <w:r>
              <w:rPr>
                <w:b/>
                <w:color w:val="FFFFFF"/>
                <w:sz w:val="20"/>
              </w:rPr>
              <w:t>Packet content</w:t>
            </w:r>
          </w:p>
        </w:tc>
        <w:tc>
          <w:tcPr>
            <w:tcW w:type="dxa" w:w="4104"/>
            <w:vAlign w:val="center"/>
            <w:shd w:fill="303942"/>
          </w:tcPr>
          <w:p>
            <w:pPr>
              <w:spacing w:after="0" w:line="254" w:lineRule="auto"/>
            </w:pPr>
            <w:r>
              <w:rPr>
                <w:b/>
                <w:color w:val="FFFFFF"/>
                <w:sz w:val="20"/>
              </w:rPr>
              <w:t>Required agent behavior</w:t>
            </w:r>
          </w:p>
        </w:tc>
      </w:tr>
      <w:tr>
        <w:trPr>
          <w:cantSplit/>
        </w:trPr>
        <w:tc>
          <w:tcPr>
            <w:tcW w:type="dxa" w:w="2088"/>
            <w:vAlign w:val="center"/>
            <w:shd w:fill="FFFFFF"/>
          </w:tcPr>
          <w:p>
            <w:pPr>
              <w:spacing w:after="0" w:line="254" w:lineRule="auto"/>
            </w:pPr>
            <w:r>
              <w:rPr>
                <w:sz w:val="20"/>
              </w:rPr>
              <w:t>Initial query</w:t>
            </w:r>
          </w:p>
        </w:tc>
        <w:tc>
          <w:tcPr>
            <w:tcW w:type="dxa" w:w="4032"/>
            <w:vAlign w:val="center"/>
            <w:shd w:fill="FFFFFF"/>
          </w:tcPr>
          <w:p>
            <w:pPr>
              <w:spacing w:after="0" w:line="254" w:lineRule="auto"/>
            </w:pPr>
            <w:r>
              <w:rPr>
                <w:sz w:val="20"/>
              </w:rPr>
              <w:t>Provider, observed call sites, binding chain and gaps</w:t>
            </w:r>
          </w:p>
        </w:tc>
        <w:tc>
          <w:tcPr>
            <w:tcW w:type="dxa" w:w="4104"/>
            <w:vAlign w:val="center"/>
            <w:shd w:fill="FFFFFF"/>
          </w:tcPr>
          <w:p>
            <w:pPr>
              <w:spacing w:after="0" w:line="254" w:lineRule="auto"/>
            </w:pPr>
            <w:r>
              <w:rPr>
                <w:sz w:val="20"/>
              </w:rPr>
              <w:t>Inspect exact edit targets; do not claim all runtime clients are known.</w:t>
            </w:r>
          </w:p>
        </w:tc>
      </w:tr>
      <w:tr>
        <w:trPr>
          <w:cantSplit/>
        </w:trPr>
        <w:tc>
          <w:tcPr>
            <w:tcW w:type="dxa" w:w="2088"/>
            <w:vAlign w:val="center"/>
            <w:shd w:fill="F3F5F6"/>
          </w:tcPr>
          <w:p>
            <w:pPr>
              <w:spacing w:after="0" w:line="254" w:lineRule="auto"/>
            </w:pPr>
            <w:r>
              <w:rPr>
                <w:sz w:val="20"/>
              </w:rPr>
              <w:t>Working edit</w:t>
            </w:r>
          </w:p>
        </w:tc>
        <w:tc>
          <w:tcPr>
            <w:tcW w:type="dxa" w:w="4032"/>
            <w:vAlign w:val="center"/>
            <w:shd w:fill="F3F5F6"/>
          </w:tcPr>
          <w:p>
            <w:pPr>
              <w:spacing w:after="0" w:line="254" w:lineRule="auto"/>
            </w:pPr>
            <w:r>
              <w:rPr>
                <w:sz w:val="20"/>
              </w:rPr>
              <w:t>Current source plus the explicit migration request</w:t>
            </w:r>
          </w:p>
        </w:tc>
        <w:tc>
          <w:tcPr>
            <w:tcW w:type="dxa" w:w="4104"/>
            <w:vAlign w:val="center"/>
            <w:shd w:fill="F3F5F6"/>
          </w:tcPr>
          <w:p>
            <w:pPr>
              <w:spacing w:after="0" w:line="254" w:lineRule="auto"/>
            </w:pPr>
            <w:r>
              <w:rPr>
                <w:sz w:val="20"/>
              </w:rPr>
              <w:t>Make the authorized patch in the host workspace.</w:t>
            </w:r>
          </w:p>
        </w:tc>
      </w:tr>
      <w:tr>
        <w:trPr>
          <w:cantSplit/>
        </w:trPr>
        <w:tc>
          <w:tcPr>
            <w:tcW w:type="dxa" w:w="2088"/>
            <w:vAlign w:val="center"/>
            <w:shd w:fill="FFFFFF"/>
          </w:tcPr>
          <w:p>
            <w:pPr>
              <w:spacing w:after="0" w:line="254" w:lineRule="auto"/>
            </w:pPr>
            <w:r>
              <w:rPr>
                <w:sz w:val="20"/>
              </w:rPr>
              <w:t>Revalidation</w:t>
            </w:r>
          </w:p>
        </w:tc>
        <w:tc>
          <w:tcPr>
            <w:tcW w:type="dxa" w:w="4032"/>
            <w:vAlign w:val="center"/>
            <w:shd w:fill="FFFFFF"/>
          </w:tcPr>
          <w:p>
            <w:pPr>
              <w:spacing w:after="0" w:line="254" w:lineRule="auto"/>
            </w:pPr>
            <w:r>
              <w:rPr>
                <w:sz w:val="20"/>
              </w:rPr>
              <w:t>Changed query results and any stale premises</w:t>
            </w:r>
          </w:p>
        </w:tc>
        <w:tc>
          <w:tcPr>
            <w:tcW w:type="dxa" w:w="4104"/>
            <w:vAlign w:val="center"/>
            <w:shd w:fill="FFFFFF"/>
          </w:tcPr>
          <w:p>
            <w:pPr>
              <w:spacing w:after="0" w:line="254" w:lineRule="auto"/>
            </w:pPr>
            <w:r>
              <w:rPr>
                <w:sz w:val="20"/>
              </w:rPr>
              <w:t>Reinspect affected bindings before relying on the old packet.</w:t>
            </w:r>
          </w:p>
        </w:tc>
      </w:tr>
      <w:tr>
        <w:trPr>
          <w:cantSplit/>
        </w:trPr>
        <w:tc>
          <w:tcPr>
            <w:tcW w:type="dxa" w:w="2088"/>
            <w:vAlign w:val="center"/>
            <w:shd w:fill="F3F5F6"/>
          </w:tcPr>
          <w:p>
            <w:pPr>
              <w:spacing w:after="0" w:line="254" w:lineRule="auto"/>
            </w:pPr>
            <w:r>
              <w:rPr>
                <w:sz w:val="20"/>
              </w:rPr>
              <w:t>Concurrent new client</w:t>
            </w:r>
          </w:p>
        </w:tc>
        <w:tc>
          <w:tcPr>
            <w:tcW w:type="dxa" w:w="4032"/>
            <w:vAlign w:val="center"/>
            <w:shd w:fill="F3F5F6"/>
          </w:tcPr>
          <w:p>
            <w:pPr>
              <w:spacing w:after="0" w:line="254" w:lineRule="auto"/>
            </w:pPr>
            <w:r>
              <w:rPr>
                <w:sz w:val="20"/>
              </w:rPr>
              <w:t>Invalidated result set and refreshed consumer list</w:t>
            </w:r>
          </w:p>
        </w:tc>
        <w:tc>
          <w:tcPr>
            <w:tcW w:type="dxa" w:w="4104"/>
            <w:vAlign w:val="center"/>
            <w:shd w:fill="F3F5F6"/>
          </w:tcPr>
          <w:p>
            <w:pPr>
              <w:spacing w:after="0" w:line="254" w:lineRule="auto"/>
            </w:pPr>
            <w:r>
              <w:rPr>
                <w:sz w:val="20"/>
              </w:rPr>
              <w:t>Include the new known client or explain why scope excludes it.</w:t>
            </w:r>
          </w:p>
        </w:tc>
      </w:tr>
      <w:tr>
        <w:trPr>
          <w:cantSplit/>
        </w:trPr>
        <w:tc>
          <w:tcPr>
            <w:tcW w:type="dxa" w:w="2088"/>
            <w:vAlign w:val="center"/>
            <w:shd w:fill="FFFFFF"/>
          </w:tcPr>
          <w:p>
            <w:pPr>
              <w:spacing w:after="0" w:line="254" w:lineRule="auto"/>
            </w:pPr>
            <w:r>
              <w:rPr>
                <w:sz w:val="20"/>
              </w:rPr>
              <w:t>Acceptance</w:t>
            </w:r>
          </w:p>
        </w:tc>
        <w:tc>
          <w:tcPr>
            <w:tcW w:type="dxa" w:w="4032"/>
            <w:vAlign w:val="center"/>
            <w:shd w:fill="FFFFFF"/>
          </w:tcPr>
          <w:p>
            <w:pPr>
              <w:spacing w:after="0" w:line="254" w:lineRule="auto"/>
            </w:pPr>
            <w:r>
              <w:rPr>
                <w:sz w:val="20"/>
              </w:rPr>
              <w:t>Test results bound to the candidate revision</w:t>
            </w:r>
          </w:p>
        </w:tc>
        <w:tc>
          <w:tcPr>
            <w:tcW w:type="dxa" w:w="4104"/>
            <w:vAlign w:val="center"/>
            <w:shd w:fill="FFFFFF"/>
          </w:tcPr>
          <w:p>
            <w:pPr>
              <w:spacing w:after="0" w:line="254" w:lineRule="auto"/>
            </w:pPr>
            <w:r>
              <w:rPr>
                <w:sz w:val="20"/>
              </w:rPr>
              <w:t>Report what passed and what remains unverified.</w:t>
            </w:r>
          </w:p>
        </w:tc>
      </w:tr>
    </w:tbl>
    <w:p>
      <w:pPr>
        <w:spacing w:after="40" w:before="0" w:line="48" w:lineRule="auto"/>
      </w:pPr>
      <w:r>
        <w:rPr>
          <w:sz w:val="4"/>
        </w:rPr>
      </w:r>
    </w:p>
    <w:p>
      <w:pPr>
        <w:pStyle w:val="Heading2"/>
      </w:pPr>
      <w:r>
        <w:t>Proposed packet shape</w:t>
      </w:r>
    </w:p>
    <w:p>
      <w:pPr>
        <w:pStyle w:val="Program"/>
      </w:pPr>
      <w:r>
        <w:t>{</w:t>
        <w:br/>
        <w:t xml:space="preserve">  "packet_version": "experimental-1", "snapshot_id": "snapshot-A",</w:t>
        <w:br/>
        <w:t xml:space="preserve">  "query_id": "orders-migration-A", "status": "needs_more_evidence",</w:t>
        <w:br/>
        <w:t xml:space="preserve">  "facts": [{"id": "F1", "witness_ref": "W1"}],</w:t>
        <w:br/>
        <w:t xml:space="preserve">  "open_obligations": ["runtime_client_inventory"],</w:t>
        <w:br/>
        <w:t xml:space="preserve">  "omitted": [], "refresh_guard_ref": "G1",</w:t>
        <w:br/>
        <w:t xml:space="preserve">  "context_budget": {"limit": 4000, "tokenizer": "pinned"}</w:t>
        <w:br/>
        <w:t>}</w:t>
      </w:r>
    </w:p>
    <w:p>
      <w:r>
        <w:t>This abbreviated example is not a released API. Real facts must include repository-qualified source locations and derivation metadata; opaque IDs are useful only when the host can resolve them. The agent sees the relevant fact and citations, while a validator can load the full receipt. Editing still requires source text.</w:t>
      </w:r>
    </w:p>
    <w:p>
      <w:pPr>
        <w:pStyle w:val="Heading2"/>
      </w:pPr>
      <w:r>
        <w:t>Where the intelligence comes from</w:t>
      </w:r>
    </w:p>
    <w:p>
      <w:r>
        <w:t>The compiler removes mechanical discovery work: joining host bindings, locating known consumers and finding which assumptions moved. The model supplies task interpretation and code changes. Tests and reviewers determine acceptance. Keeping those roles separate makes it possible to measure whether the evidence layer helped.</w:t>
      </w:r>
    </w:p>
    <w:p>
      <w:r>
        <w:t>The demonstration must include a failing case. Add a new consumer without touching any previously selected file, then show the old answer being invalidated. Also remove access to one repository and show an incomplete result rather than a confident disappearance of its consumers. These are stronger demonstrations of dependability than a small prompt alone.</w:t>
      </w:r>
    </w:p>
    <w:p>
      <w:pPr>
        <w:pStyle w:val="Heading1"/>
        <w:pageBreakBefore/>
      </w:pPr>
      <w:r>
        <w:t>Agent integration and trust boundaries</w:t>
      </w:r>
    </w:p>
    <w:p>
      <w:r>
        <w:t>A useful algorithm still needs control over the right integration boundary. MCP makes a tool available; it does not ensure an agent calls it, removes old history, follows omissions or changes its provider billing behavior. The first integration should be a host where TraceKite can observe actual requests, tool use and usage receipts.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2088"/>
        <w:gridCol w:w="4032"/>
        <w:gridCol w:w="4104"/>
      </w:tblGrid>
      <w:tr>
        <w:trPr>
          <w:cantSplit/>
          <w:tblHeader/>
        </w:trPr>
        <w:tc>
          <w:tcPr>
            <w:tcW w:type="dxa" w:w="2088"/>
            <w:vAlign w:val="center"/>
            <w:shd w:fill="303942"/>
          </w:tcPr>
          <w:p>
            <w:pPr>
              <w:spacing w:after="0" w:line="254" w:lineRule="auto"/>
            </w:pPr>
            <w:r>
              <w:rPr>
                <w:b/>
                <w:color w:val="FFFFFF"/>
                <w:sz w:val="20"/>
              </w:rPr>
              <w:t>Integration mode</w:t>
            </w:r>
          </w:p>
        </w:tc>
        <w:tc>
          <w:tcPr>
            <w:tcW w:type="dxa" w:w="4032"/>
            <w:vAlign w:val="center"/>
            <w:shd w:fill="303942"/>
          </w:tcPr>
          <w:p>
            <w:pPr>
              <w:spacing w:after="0" w:line="254" w:lineRule="auto"/>
            </w:pPr>
            <w:r>
              <w:rPr>
                <w:b/>
                <w:color w:val="FFFFFF"/>
                <w:sz w:val="20"/>
              </w:rPr>
              <w:t>Realistic control</w:t>
            </w:r>
          </w:p>
        </w:tc>
        <w:tc>
          <w:tcPr>
            <w:tcW w:type="dxa" w:w="4104"/>
            <w:vAlign w:val="center"/>
            <w:shd w:fill="303942"/>
          </w:tcPr>
          <w:p>
            <w:pPr>
              <w:spacing w:after="0" w:line="254" w:lineRule="auto"/>
            </w:pPr>
            <w:r>
              <w:rPr>
                <w:b/>
                <w:color w:val="FFFFFF"/>
                <w:sz w:val="20"/>
              </w:rPr>
              <w:t>Claim to measure</w:t>
            </w:r>
          </w:p>
        </w:tc>
      </w:tr>
      <w:tr>
        <w:trPr>
          <w:cantSplit/>
        </w:trPr>
        <w:tc>
          <w:tcPr>
            <w:tcW w:type="dxa" w:w="2088"/>
            <w:vAlign w:val="center"/>
            <w:shd w:fill="FFFFFF"/>
          </w:tcPr>
          <w:p>
            <w:pPr>
              <w:spacing w:after="0" w:line="254" w:lineRule="auto"/>
            </w:pPr>
            <w:r>
              <w:rPr>
                <w:sz w:val="20"/>
              </w:rPr>
              <w:t>Advisory MCP</w:t>
            </w:r>
          </w:p>
        </w:tc>
        <w:tc>
          <w:tcPr>
            <w:tcW w:type="dxa" w:w="4032"/>
            <w:vAlign w:val="center"/>
            <w:shd w:fill="FFFFFF"/>
          </w:tcPr>
          <w:p>
            <w:pPr>
              <w:spacing w:after="0" w:line="254" w:lineRule="auto"/>
            </w:pPr>
            <w:r>
              <w:rPr>
                <w:sz w:val="20"/>
              </w:rPr>
              <w:t>Typed tools and bounded self-contained responses</w:t>
            </w:r>
          </w:p>
        </w:tc>
        <w:tc>
          <w:tcPr>
            <w:tcW w:type="dxa" w:w="4104"/>
            <w:vAlign w:val="center"/>
            <w:shd w:fill="FFFFFF"/>
          </w:tcPr>
          <w:p>
            <w:pPr>
              <w:spacing w:after="0" w:line="254" w:lineRule="auto"/>
            </w:pPr>
            <w:r>
              <w:rPr>
                <w:sz w:val="20"/>
              </w:rPr>
              <w:t>Less discovery work when the agent uses the tool</w:t>
            </w:r>
          </w:p>
        </w:tc>
      </w:tr>
      <w:tr>
        <w:trPr>
          <w:cantSplit/>
        </w:trPr>
        <w:tc>
          <w:tcPr>
            <w:tcW w:type="dxa" w:w="2088"/>
            <w:vAlign w:val="center"/>
            <w:shd w:fill="F3F5F6"/>
          </w:tcPr>
          <w:p>
            <w:pPr>
              <w:spacing w:after="0" w:line="254" w:lineRule="auto"/>
            </w:pPr>
            <w:r>
              <w:rPr>
                <w:sz w:val="20"/>
              </w:rPr>
              <w:t>Managed host adapter</w:t>
            </w:r>
          </w:p>
        </w:tc>
        <w:tc>
          <w:tcPr>
            <w:tcW w:type="dxa" w:w="4032"/>
            <w:vAlign w:val="center"/>
            <w:shd w:fill="F3F5F6"/>
          </w:tcPr>
          <w:p>
            <w:pPr>
              <w:spacing w:after="0" w:line="254" w:lineRule="auto"/>
            </w:pPr>
            <w:r>
              <w:rPr>
                <w:sz w:val="20"/>
              </w:rPr>
              <w:t>Context assembly, refresh, rehydration and budget accounting</w:t>
            </w:r>
          </w:p>
        </w:tc>
        <w:tc>
          <w:tcPr>
            <w:tcW w:type="dxa" w:w="4104"/>
            <w:vAlign w:val="center"/>
            <w:shd w:fill="F3F5F6"/>
          </w:tcPr>
          <w:p>
            <w:pPr>
              <w:spacing w:after="0" w:line="254" w:lineRule="auto"/>
            </w:pPr>
            <w:r>
              <w:rPr>
                <w:sz w:val="20"/>
              </w:rPr>
              <w:t>Lower end-to-end cost at the required task quality</w:t>
            </w:r>
          </w:p>
        </w:tc>
      </w:tr>
      <w:tr>
        <w:trPr>
          <w:cantSplit/>
        </w:trPr>
        <w:tc>
          <w:tcPr>
            <w:tcW w:type="dxa" w:w="2088"/>
            <w:vAlign w:val="center"/>
            <w:shd w:fill="FFFFFF"/>
          </w:tcPr>
          <w:p>
            <w:pPr>
              <w:spacing w:after="0" w:line="254" w:lineRule="auto"/>
            </w:pPr>
            <w:r>
              <w:rPr>
                <w:sz w:val="20"/>
              </w:rPr>
              <w:t>Authorized team service</w:t>
            </w:r>
          </w:p>
        </w:tc>
        <w:tc>
          <w:tcPr>
            <w:tcW w:type="dxa" w:w="4032"/>
            <w:vAlign w:val="center"/>
            <w:shd w:fill="FFFFFF"/>
          </w:tcPr>
          <w:p>
            <w:pPr>
              <w:spacing w:after="0" w:line="254" w:lineRule="auto"/>
            </w:pPr>
            <w:r>
              <w:rPr>
                <w:sz w:val="20"/>
              </w:rPr>
              <w:t>Shared immutable artifacts and query computation</w:t>
            </w:r>
          </w:p>
        </w:tc>
        <w:tc>
          <w:tcPr>
            <w:tcW w:type="dxa" w:w="4104"/>
            <w:vAlign w:val="center"/>
            <w:shd w:fill="FFFFFF"/>
          </w:tcPr>
          <w:p>
            <w:pPr>
              <w:spacing w:after="0" w:line="254" w:lineRule="auto"/>
            </w:pPr>
            <w:r>
              <w:rPr>
                <w:sz w:val="20"/>
              </w:rPr>
              <w:t>Amortized indexing and fewer repeated analyses</w:t>
            </w:r>
          </w:p>
        </w:tc>
      </w:tr>
    </w:tbl>
    <w:p>
      <w:pPr>
        <w:spacing w:after="40" w:before="0" w:line="48" w:lineRule="auto"/>
      </w:pPr>
      <w:r>
        <w:rPr>
          <w:sz w:val="4"/>
        </w:rPr>
      </w:r>
    </w:p>
    <w:p>
      <w:r>
        <w:t xml:space="preserve">Keep the existing four primitives usable. Proposed experimental adapter operations can be </w:t>
      </w:r>
      <w:r>
        <w:rPr>
          <w:rFonts w:ascii="Courier New" w:hAnsi="Courier New"/>
          <w:sz w:val="20"/>
        </w:rPr>
        <w:t>prepare_context</w:t>
      </w:r>
      <w:r>
        <w:t xml:space="preserve">, </w:t>
      </w:r>
      <w:r>
        <w:rPr>
          <w:rFonts w:ascii="Courier New" w:hAnsi="Courier New"/>
          <w:sz w:val="20"/>
        </w:rPr>
        <w:t>expand_evidence</w:t>
      </w:r>
      <w:r>
        <w:t xml:space="preserve">, </w:t>
      </w:r>
      <w:r>
        <w:rPr>
          <w:rFonts w:ascii="Courier New" w:hAnsi="Courier New"/>
          <w:sz w:val="20"/>
        </w:rPr>
        <w:t>refresh_context</w:t>
      </w:r>
      <w:r>
        <w:t xml:space="preserve"> and </w:t>
      </w:r>
      <w:r>
        <w:rPr>
          <w:rFonts w:ascii="Courier New" w:hAnsi="Courier New"/>
          <w:sz w:val="20"/>
        </w:rPr>
        <w:t>record_validation</w:t>
      </w:r>
      <w:r>
        <w:t>. Record validation accepts only host-observed results with a revision and command identity; a model-written claim that tests passed is not equivalent evidence.</w:t>
      </w:r>
    </w:p>
    <w:p>
      <w:pPr>
        <w:pStyle w:val="Heading2"/>
      </w:pPr>
      <w:r>
        <w:t>Source and access safety</w:t>
      </w:r>
    </w:p>
    <w:p>
      <w:r>
        <w:t>Treat retrieved code, comments and documentation as untrusted data, even when content-addressed. A digest establishes identity, not author authenticity or freedom from prompt injection. Keep trusted host policy outside retrieved source, and do not allow source comments to grant tools or expand filesystem access.</w:t>
      </w:r>
    </w:p>
    <w:p>
      <w:r>
        <w:t>Every excerpt read must obey allowed roots, repository identity and authorization. Apply redaction before source leaves the machine. Include access policy in cache partitions and recheck it on reads; a previously authorized receipt must not leak a repository after access is revoked. Shared telemetry should contain only approved metadata, not source, secrets or model reasoning.</w:t>
      </w:r>
    </w:p>
    <w:p>
      <w:r>
        <w:t>Dirty worktrees, branches and environment configurations are distinct states. Share immutable facts only across compatible states and authorized users. Keep private working-copy evidence local by default. Bound disk use and give artifacts a retention policy without misrepresenting eviction as a source change.</w:t>
      </w:r>
    </w:p>
    <w:p>
      <w:pPr>
        <w:pStyle w:val="Heading2"/>
      </w:pPr>
      <w:r>
        <w:t>Compatibility and honest accounting</w:t>
      </w:r>
    </w:p>
    <w:p>
      <w:r>
        <w:t>Use version negotiation for compact responses. Never remove scope, stale-state or omission information to reach a marketing token target. Add protocol tests for unknown fields, incompatible versions, restoration failures and clients that ignore refresh instructions.</w:t>
      </w:r>
    </w:p>
    <w:p>
      <w:r>
        <w:t>A managed adapter can evaluate cache-friendly ordering of stable context and changing context. It must preserve the host's required conversation and tool-result semantics. An advisory plugin must not claim that sending a delta erases previously billed tokens. Both modes should allow users to inspect the packet and request original source.</w:t>
      </w:r>
    </w:p>
    <w:p>
      <w:r>
        <w:t>Do not build a new autonomous coding agent as the first product. The initial deliverable is an evidence layer and one instrumented adapter. Model routing, autonomous test selection and broad long-term memory are separate experiments whose savings and failure modes must be measured independently.</w:t>
      </w:r>
    </w:p>
    <w:p>
      <w:pPr>
        <w:pStyle w:val="Heading1"/>
        <w:pageBreakBefore/>
      </w:pPr>
      <w:r>
        <w:t>Evaluation design and release criteria</w:t>
      </w:r>
    </w:p>
    <w:p>
      <w:r>
        <w:t>Measure dollars per accepted task over all attempts. Define acceptance with held-out tests and a task-specific review rubric before running agents. Also report resolve rate, review time, unsupported assertions, citation validity, stale answers, omitted required evidence, wall time and indexing/storage costs.</w:t>
      </w:r>
    </w:p>
    <w:p>
      <w:pPr>
        <w:pStyle w:val="Heading2"/>
      </w:pPr>
      <w:r>
        <w:t>Comparison arms</w:t>
      </w:r>
    </w:p>
    <w:p>
      <w:r>
        <w:t>Give each arm the same task, model version, host, repository access, permissions, timeout and output allowance. Compare a well-tuned search/caching baseline A, current TraceKite B, and RWC C. Include a suitable external context/pruning tool where feasible; otherwise limit the competitive claim.</w:t>
      </w:r>
    </w:p>
    <w:p>
      <w:r>
        <w:t>Test mechanisms separately: remove witness bundling; use full-snapshot invalidation; remove progressive expansion; and disable compact encoding. Evaluate small-model routing only after establishing same-model benefits.</w:t>
      </w:r>
    </w:p>
    <w:p>
      <w:pPr>
        <w:pStyle w:val="Heading2"/>
      </w:pPr>
      <w:r>
        <w:t>Workload and leakage controls</w:t>
      </w:r>
    </w:p>
    <w:p>
      <w:r>
        <w:t>Include ordinary single-file fixes, cross-repository API changes, configuration rewrites, shared-library upgrades, newly added consumers, alternative providers, unsupported patterns, dirty trees and high-degree graphs. Hold out repositories and change families, not just random files. Do not use reference patches or hidden tests to construct the agent's context.</w:t>
      </w:r>
    </w:p>
    <w:p>
      <w:r>
        <w:t>Public benchmarks do not establish cross-repository benefits by themselves. Compare with RepoGraph where applicable. A recent SWE-Bench Pro Verified preprint reports leakage and task-quality problems; audit environments and keep evaluation material inaccessible to agents.</w:t>
      </w:r>
      <w:r>
        <w:rPr>
          <w:vertAlign w:val="superscript"/>
        </w:rPr>
        <w:footnoteReference w:id="14"/>
      </w:r>
      <w:r/>
    </w:p>
    <w:p>
      <w:pPr>
        <w:pStyle w:val="Heading2"/>
      </w:pPr>
      <w:r>
        <w:t>Staged spending</w:t>
      </w:r>
    </w:p>
    <w:p>
      <w:r>
        <w:t>Start with zero-LLM deterministic fixtures. Then run ten tasks with one host and two arms as a 20-run feasibility check. If that survives, a 30-task pilot with two hosts, three arms and two repetitions requires 360 runs. At an explicitly assumed $2–$10 per run, that pilot would cost $720–$3600 before setup and human review. This document authorizes no paid runs.</w:t>
      </w:r>
    </w:p>
    <w:p>
      <w:pPr>
        <w:pStyle w:val="Heading2"/>
      </w:pPr>
      <w:r>
        <w:t>Predeclared acceptance gates</w:t>
      </w:r>
    </w:p>
    <w:p>
      <w:pPr>
        <w:pStyle w:val="ListBullet"/>
      </w:pPr>
      <w:r>
        <w:t>Target at least 30 percent lower cost per accepted task, with uncertainty reported. A confirmatory interval for the cost ratio must exclude no improvement; do not cherry-pick a favorable subgroup as the overall result.</w:t>
      </w:r>
    </w:p>
    <w:p>
      <w:pPr>
        <w:pStyle w:val="ListBullet"/>
      </w:pPr>
      <w:r>
        <w:t>Require the one-sided 95 percent lower confidence bound for the success-rate difference to exceed a predeclared minus 2 percentage-point margin. The pilot is for sizing the confirmatory study, not proof of this narrow margin.</w:t>
      </w:r>
    </w:p>
    <w:p>
      <w:pPr>
        <w:pStyle w:val="ListBullet"/>
      </w:pPr>
      <w:r>
        <w:t>Require zero unsupported deletion permissions, cross-tenant disclosures and missed invalidations on the curated adversarial suite. This is a finite-suite requirement, not a universal safety guarantee.</w:t>
      </w:r>
    </w:p>
    <w:p>
      <w:pPr>
        <w:pStyle w:val="ListBullet"/>
      </w:pPr>
      <w:r>
        <w:t>Report repeated runs and repository-clustered uncertainty. If the sample cannot establish non-inferiority, call the result inconclusive. Publish failure examples and cold-cache results alongside warm-cache results.</w:t>
      </w:r>
    </w:p>
    <w:p>
      <w:r>
        <w:t>Stop or narrow the effort if retries erase savings, consumers ignore the tools, metadata dominates small tasks, or coverage gaps prevent useful cross-repository answers. Prefer a small effective tool over a broad unsupported claim.</w:t>
      </w:r>
    </w:p>
    <w:p>
      <w:pPr>
        <w:pStyle w:val="Heading1"/>
        <w:pageBreakBefore/>
      </w:pPr>
      <w:r>
        <w:t>Implementation tasks and sequencing</w:t>
      </w:r>
    </w:p>
    <w:p>
      <w:r>
        <w:t xml:space="preserve">The following are proposed document-local task IDs. They are not new entries or status changes in </w:t>
      </w:r>
      <w:r>
        <w:rPr>
          <w:rFonts w:ascii="Courier New" w:hAnsi="Courier New"/>
          <w:sz w:val="20"/>
        </w:rPr>
        <w:t>tasks.csv</w:t>
      </w:r>
      <w:r>
        <w:t>. They extend the existing intelligence roadmap and should be reconciled into that tracker before implementation. Scheduling assumes a small team; acceptance evidence, not a calendar date, controls progression.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979"/>
        <w:gridCol w:w="4435"/>
        <w:gridCol w:w="4810"/>
      </w:tblGrid>
      <w:tr>
        <w:trPr>
          <w:cantSplit/>
          <w:tblHeader/>
        </w:trPr>
        <w:tc>
          <w:tcPr>
            <w:tcW w:type="dxa" w:w="979"/>
            <w:vAlign w:val="center"/>
            <w:shd w:fill="303942"/>
          </w:tcPr>
          <w:p>
            <w:pPr>
              <w:spacing w:after="0" w:line="254" w:lineRule="auto"/>
            </w:pPr>
            <w:r>
              <w:rPr>
                <w:b/>
                <w:color w:val="FFFFFF"/>
                <w:sz w:val="19"/>
              </w:rPr>
              <w:t>ID</w:t>
            </w:r>
          </w:p>
        </w:tc>
        <w:tc>
          <w:tcPr>
            <w:tcW w:type="dxa" w:w="4435"/>
            <w:vAlign w:val="center"/>
            <w:shd w:fill="303942"/>
          </w:tcPr>
          <w:p>
            <w:pPr>
              <w:spacing w:after="0" w:line="254" w:lineRule="auto"/>
            </w:pPr>
            <w:r>
              <w:rPr>
                <w:b/>
                <w:color w:val="FFFFFF"/>
                <w:sz w:val="19"/>
              </w:rPr>
              <w:t>Deliverable and dependency</w:t>
            </w:r>
          </w:p>
        </w:tc>
        <w:tc>
          <w:tcPr>
            <w:tcW w:type="dxa" w:w="4810"/>
            <w:vAlign w:val="center"/>
            <w:shd w:fill="303942"/>
          </w:tcPr>
          <w:p>
            <w:pPr>
              <w:spacing w:after="0" w:line="254" w:lineRule="auto"/>
            </w:pPr>
            <w:r>
              <w:rPr>
                <w:b/>
                <w:color w:val="FFFFFF"/>
                <w:sz w:val="19"/>
              </w:rPr>
              <w:t>Acceptance evidence</w:t>
            </w:r>
          </w:p>
        </w:tc>
      </w:tr>
      <w:tr>
        <w:trPr>
          <w:cantSplit/>
        </w:trPr>
        <w:tc>
          <w:tcPr>
            <w:tcW w:type="dxa" w:w="979"/>
            <w:vAlign w:val="center"/>
            <w:shd w:fill="FFFFFF"/>
          </w:tcPr>
          <w:p>
            <w:pPr>
              <w:spacing w:after="0" w:line="254" w:lineRule="auto"/>
            </w:pPr>
            <w:r>
              <w:rPr>
                <w:sz w:val="19"/>
              </w:rPr>
              <w:t>RWC-01</w:t>
            </w:r>
          </w:p>
        </w:tc>
        <w:tc>
          <w:tcPr>
            <w:tcW w:type="dxa" w:w="4435"/>
            <w:vAlign w:val="center"/>
            <w:shd w:fill="FFFFFF"/>
          </w:tcPr>
          <w:p>
            <w:pPr>
              <w:spacing w:after="0" w:line="254" w:lineRule="auto"/>
            </w:pPr>
            <w:r>
              <w:rPr>
                <w:sz w:val="19"/>
              </w:rPr>
              <w:t>Cost ledger and strong baseline. Start first; extend REL-008.</w:t>
            </w:r>
          </w:p>
        </w:tc>
        <w:tc>
          <w:tcPr>
            <w:tcW w:type="dxa" w:w="4810"/>
            <w:vAlign w:val="center"/>
            <w:shd w:fill="FFFFFF"/>
          </w:tcPr>
          <w:p>
            <w:pPr>
              <w:spacing w:after="0" w:line="254" w:lineRule="auto"/>
            </w:pPr>
            <w:r>
              <w:rPr>
                <w:sz w:val="19"/>
              </w:rPr>
              <w:t>Provider usage reconciles to priced categories; failed attempts remain counted.</w:t>
            </w:r>
          </w:p>
        </w:tc>
      </w:tr>
      <w:tr>
        <w:trPr>
          <w:cantSplit/>
        </w:trPr>
        <w:tc>
          <w:tcPr>
            <w:tcW w:type="dxa" w:w="979"/>
            <w:vAlign w:val="center"/>
            <w:shd w:fill="F3F5F6"/>
          </w:tcPr>
          <w:p>
            <w:pPr>
              <w:spacing w:after="0" w:line="254" w:lineRule="auto"/>
            </w:pPr>
            <w:r>
              <w:rPr>
                <w:sz w:val="19"/>
              </w:rPr>
              <w:t>RWC-02</w:t>
            </w:r>
          </w:p>
        </w:tc>
        <w:tc>
          <w:tcPr>
            <w:tcW w:type="dxa" w:w="4435"/>
            <w:vAlign w:val="center"/>
            <w:shd w:fill="F3F5F6"/>
          </w:tcPr>
          <w:p>
            <w:pPr>
              <w:spacing w:after="0" w:line="254" w:lineRule="auto"/>
            </w:pPr>
            <w:r>
              <w:rPr>
                <w:sz w:val="19"/>
              </w:rPr>
              <w:t>Coherent snapshots and exact source identity. Extend CTX-005 and CTX-006.</w:t>
            </w:r>
          </w:p>
        </w:tc>
        <w:tc>
          <w:tcPr>
            <w:tcW w:type="dxa" w:w="4810"/>
            <w:vAlign w:val="center"/>
            <w:shd w:fill="F3F5F6"/>
          </w:tcPr>
          <w:p>
            <w:pPr>
              <w:spacing w:after="0" w:line="254" w:lineRule="auto"/>
            </w:pPr>
            <w:r>
              <w:rPr>
                <w:sz w:val="19"/>
              </w:rPr>
              <w:t>Dirty-tree, concurrent-write, edit-and-revert and duplicate-path fixtures cannot yield falsely current receipts.</w:t>
            </w:r>
          </w:p>
        </w:tc>
      </w:tr>
      <w:tr>
        <w:trPr>
          <w:cantSplit/>
        </w:trPr>
        <w:tc>
          <w:tcPr>
            <w:tcW w:type="dxa" w:w="979"/>
            <w:vAlign w:val="center"/>
            <w:shd w:fill="FFFFFF"/>
          </w:tcPr>
          <w:p>
            <w:pPr>
              <w:spacing w:after="0" w:line="254" w:lineRule="auto"/>
            </w:pPr>
            <w:r>
              <w:rPr>
                <w:sz w:val="19"/>
              </w:rPr>
              <w:t>RWC-03</w:t>
            </w:r>
          </w:p>
        </w:tc>
        <w:tc>
          <w:tcPr>
            <w:tcW w:type="dxa" w:w="4435"/>
            <w:vAlign w:val="center"/>
            <w:shd w:fill="FFFFFF"/>
          </w:tcPr>
          <w:p>
            <w:pPr>
              <w:spacing w:after="0" w:line="254" w:lineRule="auto"/>
            </w:pPr>
            <w:r>
              <w:rPr>
                <w:sz w:val="19"/>
              </w:rPr>
              <w:t>Typed obligations and witness bundles. After 02; extend INT-002.</w:t>
            </w:r>
          </w:p>
        </w:tc>
        <w:tc>
          <w:tcPr>
            <w:tcW w:type="dxa" w:w="4810"/>
            <w:vAlign w:val="center"/>
            <w:shd w:fill="FFFFFF"/>
          </w:tcPr>
          <w:p>
            <w:pPr>
              <w:spacing w:after="0" w:line="254" w:lineRule="auto"/>
            </w:pPr>
            <w:r>
              <w:rPr>
                <w:sz w:val="19"/>
              </w:rPr>
              <w:t>Supported facts retain all derivation premises; ambiguity and gaps remain explicit.</w:t>
            </w:r>
          </w:p>
        </w:tc>
      </w:tr>
      <w:tr>
        <w:trPr>
          <w:cantSplit/>
        </w:trPr>
        <w:tc>
          <w:tcPr>
            <w:tcW w:type="dxa" w:w="979"/>
            <w:vAlign w:val="center"/>
            <w:shd w:fill="F3F5F6"/>
          </w:tcPr>
          <w:p>
            <w:pPr>
              <w:spacing w:after="0" w:line="254" w:lineRule="auto"/>
            </w:pPr>
            <w:r>
              <w:rPr>
                <w:sz w:val="19"/>
              </w:rPr>
              <w:t>RWC-04</w:t>
            </w:r>
          </w:p>
        </w:tc>
        <w:tc>
          <w:tcPr>
            <w:tcW w:type="dxa" w:w="4435"/>
            <w:vAlign w:val="center"/>
            <w:shd w:fill="F3F5F6"/>
          </w:tcPr>
          <w:p>
            <w:pPr>
              <w:spacing w:after="0" w:line="254" w:lineRule="auto"/>
            </w:pPr>
            <w:r>
              <w:rPr>
                <w:sz w:val="19"/>
              </w:rPr>
              <w:t>Query guards and conservative fallback. After 03; extend INT-004.</w:t>
            </w:r>
          </w:p>
        </w:tc>
        <w:tc>
          <w:tcPr>
            <w:tcW w:type="dxa" w:w="4810"/>
            <w:vAlign w:val="center"/>
            <w:shd w:fill="F3F5F6"/>
          </w:tcPr>
          <w:p>
            <w:pPr>
              <w:spacing w:after="0" w:line="254" w:lineRule="auto"/>
            </w:pPr>
            <w:r>
              <w:rPr>
                <w:sz w:val="19"/>
              </w:rPr>
              <w:t>New consumers, alias/config changes and changed unselected ranking inputs trigger the required refresh.</w:t>
            </w:r>
          </w:p>
        </w:tc>
      </w:tr>
      <w:tr>
        <w:trPr>
          <w:cantSplit/>
        </w:trPr>
        <w:tc>
          <w:tcPr>
            <w:tcW w:type="dxa" w:w="979"/>
            <w:vAlign w:val="center"/>
            <w:shd w:fill="FFFFFF"/>
          </w:tcPr>
          <w:p>
            <w:pPr>
              <w:spacing w:after="0" w:line="254" w:lineRule="auto"/>
            </w:pPr>
            <w:r>
              <w:rPr>
                <w:sz w:val="19"/>
              </w:rPr>
              <w:t>RWC-05</w:t>
            </w:r>
          </w:p>
        </w:tc>
        <w:tc>
          <w:tcPr>
            <w:tcW w:type="dxa" w:w="4435"/>
            <w:vAlign w:val="center"/>
            <w:shd w:fill="FFFFFF"/>
          </w:tcPr>
          <w:p>
            <w:pPr>
              <w:spacing w:after="0" w:line="254" w:lineRule="auto"/>
            </w:pPr>
            <w:r>
              <w:rPr>
                <w:sz w:val="19"/>
              </w:rPr>
              <w:t>Deterministic packet selector. After 03; extend CTX-007 and CTX-012.</w:t>
            </w:r>
          </w:p>
        </w:tc>
        <w:tc>
          <w:tcPr>
            <w:tcW w:type="dxa" w:w="4810"/>
            <w:vAlign w:val="center"/>
            <w:shd w:fill="FFFFFF"/>
          </w:tcPr>
          <w:p>
            <w:pPr>
              <w:spacing w:after="0" w:line="254" w:lineRule="auto"/>
            </w:pPr>
            <w:r>
              <w:rPr>
                <w:sz w:val="19"/>
              </w:rPr>
              <w:t>Final budgets include omissions; trimming preserves support closure and terminates or reports overflow.</w:t>
            </w:r>
          </w:p>
        </w:tc>
      </w:tr>
      <w:tr>
        <w:trPr>
          <w:cantSplit/>
        </w:trPr>
        <w:tc>
          <w:tcPr>
            <w:tcW w:type="dxa" w:w="979"/>
            <w:vAlign w:val="center"/>
            <w:shd w:fill="F3F5F6"/>
          </w:tcPr>
          <w:p>
            <w:pPr>
              <w:spacing w:after="0" w:line="254" w:lineRule="auto"/>
            </w:pPr>
            <w:r>
              <w:rPr>
                <w:sz w:val="19"/>
              </w:rPr>
              <w:t>RWC-06</w:t>
            </w:r>
          </w:p>
        </w:tc>
        <w:tc>
          <w:tcPr>
            <w:tcW w:type="dxa" w:w="4435"/>
            <w:vAlign w:val="center"/>
            <w:shd w:fill="F3F5F6"/>
          </w:tcPr>
          <w:p>
            <w:pPr>
              <w:spacing w:after="0" w:line="254" w:lineRule="auto"/>
            </w:pPr>
            <w:r>
              <w:rPr>
                <w:sz w:val="19"/>
              </w:rPr>
              <w:t>Negotiated compact encoding. After 03; extend INT-003.</w:t>
            </w:r>
          </w:p>
        </w:tc>
        <w:tc>
          <w:tcPr>
            <w:tcW w:type="dxa" w:w="4810"/>
            <w:vAlign w:val="center"/>
            <w:shd w:fill="F3F5F6"/>
          </w:tcPr>
          <w:p>
            <w:pPr>
              <w:spacing w:after="0" w:line="254" w:lineRule="auto"/>
            </w:pPr>
            <w:r>
              <w:rPr>
                <w:sz w:val="19"/>
              </w:rPr>
              <w:t>Old clients still work; new clients retain every required warning without duplicate result bodies.</w:t>
            </w:r>
          </w:p>
        </w:tc>
      </w:tr>
      <w:tr>
        <w:trPr>
          <w:cantSplit/>
        </w:trPr>
        <w:tc>
          <w:tcPr>
            <w:tcW w:type="dxa" w:w="979"/>
            <w:vAlign w:val="center"/>
            <w:shd w:fill="FFFFFF"/>
          </w:tcPr>
          <w:p>
            <w:pPr>
              <w:spacing w:after="0" w:line="254" w:lineRule="auto"/>
            </w:pPr>
            <w:r>
              <w:rPr>
                <w:sz w:val="19"/>
              </w:rPr>
              <w:t>RWC-07</w:t>
            </w:r>
          </w:p>
        </w:tc>
        <w:tc>
          <w:tcPr>
            <w:tcW w:type="dxa" w:w="4435"/>
            <w:vAlign w:val="center"/>
            <w:shd w:fill="FFFFFF"/>
          </w:tcPr>
          <w:p>
            <w:pPr>
              <w:spacing w:after="0" w:line="254" w:lineRule="auto"/>
            </w:pPr>
            <w:r>
              <w:rPr>
                <w:sz w:val="19"/>
              </w:rPr>
              <w:t>Refresh, restore and atomic replacement. After 04 and 05.</w:t>
            </w:r>
          </w:p>
        </w:tc>
        <w:tc>
          <w:tcPr>
            <w:tcW w:type="dxa" w:w="4810"/>
            <w:vAlign w:val="center"/>
            <w:shd w:fill="FFFFFF"/>
          </w:tcPr>
          <w:p>
            <w:pPr>
              <w:spacing w:after="0" w:line="254" w:lineRule="auto"/>
            </w:pPr>
            <w:r>
              <w:rPr>
                <w:sz w:val="19"/>
              </w:rPr>
              <w:t>Branch changes, missing bases, compaction and access revocation behave correctly.</w:t>
            </w:r>
          </w:p>
        </w:tc>
      </w:tr>
      <w:tr>
        <w:trPr>
          <w:cantSplit/>
        </w:trPr>
        <w:tc>
          <w:tcPr>
            <w:tcW w:type="dxa" w:w="979"/>
            <w:vAlign w:val="center"/>
            <w:shd w:fill="F3F5F6"/>
          </w:tcPr>
          <w:p>
            <w:pPr>
              <w:spacing w:after="0" w:line="254" w:lineRule="auto"/>
            </w:pPr>
            <w:r>
              <w:rPr>
                <w:sz w:val="19"/>
              </w:rPr>
              <w:t>RWC-08</w:t>
            </w:r>
          </w:p>
        </w:tc>
        <w:tc>
          <w:tcPr>
            <w:tcW w:type="dxa" w:w="4435"/>
            <w:vAlign w:val="center"/>
            <w:shd w:fill="F3F5F6"/>
          </w:tcPr>
          <w:p>
            <w:pPr>
              <w:spacing w:after="0" w:line="254" w:lineRule="auto"/>
            </w:pPr>
            <w:r>
              <w:rPr>
                <w:sz w:val="19"/>
              </w:rPr>
              <w:t>One managed host integration. After 01, 06 and 07.</w:t>
            </w:r>
          </w:p>
        </w:tc>
        <w:tc>
          <w:tcPr>
            <w:tcW w:type="dxa" w:w="4810"/>
            <w:vAlign w:val="center"/>
            <w:shd w:fill="F3F5F6"/>
          </w:tcPr>
          <w:p>
            <w:pPr>
              <w:spacing w:after="0" w:line="254" w:lineRule="auto"/>
            </w:pPr>
            <w:r>
              <w:rPr>
                <w:sz w:val="19"/>
              </w:rPr>
              <w:t>Real model requests, context state and usage receipts are observable; source remains recoverable.</w:t>
            </w:r>
          </w:p>
        </w:tc>
      </w:tr>
      <w:tr>
        <w:trPr>
          <w:cantSplit/>
        </w:trPr>
        <w:tc>
          <w:tcPr>
            <w:tcW w:type="dxa" w:w="979"/>
            <w:vAlign w:val="center"/>
            <w:shd w:fill="FFFFFF"/>
          </w:tcPr>
          <w:p>
            <w:pPr>
              <w:spacing w:after="0" w:line="254" w:lineRule="auto"/>
            </w:pPr>
            <w:r>
              <w:rPr>
                <w:sz w:val="19"/>
              </w:rPr>
              <w:t>RWC-09</w:t>
            </w:r>
          </w:p>
        </w:tc>
        <w:tc>
          <w:tcPr>
            <w:tcW w:type="dxa" w:w="4435"/>
            <w:vAlign w:val="center"/>
            <w:shd w:fill="FFFFFF"/>
          </w:tcPr>
          <w:p>
            <w:pPr>
              <w:spacing w:after="0" w:line="254" w:lineRule="auto"/>
            </w:pPr>
            <w:r>
              <w:rPr>
                <w:sz w:val="19"/>
              </w:rPr>
              <w:t>Paired pilot and independent acceptance. After 08; extend REL-008.</w:t>
            </w:r>
          </w:p>
        </w:tc>
        <w:tc>
          <w:tcPr>
            <w:tcW w:type="dxa" w:w="4810"/>
            <w:vAlign w:val="center"/>
            <w:shd w:fill="FFFFFF"/>
          </w:tcPr>
          <w:p>
            <w:pPr>
              <w:spacing w:after="0" w:line="254" w:lineRule="auto"/>
            </w:pPr>
            <w:r>
              <w:rPr>
                <w:sz w:val="19"/>
              </w:rPr>
              <w:t>Complete paired outcomes, cost accounting, drift fixtures and failure taxonomy are published.</w:t>
            </w:r>
          </w:p>
        </w:tc>
      </w:tr>
      <w:tr>
        <w:trPr>
          <w:cantSplit/>
        </w:trPr>
        <w:tc>
          <w:tcPr>
            <w:tcW w:type="dxa" w:w="979"/>
            <w:vAlign w:val="center"/>
            <w:shd w:fill="F3F5F6"/>
          </w:tcPr>
          <w:p>
            <w:pPr>
              <w:spacing w:after="0" w:line="254" w:lineRule="auto"/>
            </w:pPr>
            <w:r>
              <w:rPr>
                <w:sz w:val="19"/>
              </w:rPr>
              <w:t>RWC-10</w:t>
            </w:r>
          </w:p>
        </w:tc>
        <w:tc>
          <w:tcPr>
            <w:tcW w:type="dxa" w:w="4435"/>
            <w:vAlign w:val="center"/>
            <w:shd w:fill="F3F5F6"/>
          </w:tcPr>
          <w:p>
            <w:pPr>
              <w:spacing w:after="0" w:line="254" w:lineRule="auto"/>
            </w:pPr>
            <w:r>
              <w:rPr>
                <w:sz w:val="19"/>
              </w:rPr>
              <w:t>Release decision and second host. After 09.</w:t>
            </w:r>
          </w:p>
        </w:tc>
        <w:tc>
          <w:tcPr>
            <w:tcW w:type="dxa" w:w="4810"/>
            <w:vAlign w:val="center"/>
            <w:shd w:fill="F3F5F6"/>
          </w:tcPr>
          <w:p>
            <w:pPr>
              <w:spacing w:after="0" w:line="254" w:lineRule="auto"/>
            </w:pPr>
            <w:r>
              <w:rPr>
                <w:sz w:val="19"/>
              </w:rPr>
              <w:t>Confirmatory evidence supports the stated workload; install, compatibility and security gates pass.</w:t>
            </w:r>
          </w:p>
        </w:tc>
      </w:tr>
    </w:tbl>
    <w:p>
      <w:pPr>
        <w:spacing w:after="40" w:before="0" w:line="48" w:lineRule="auto"/>
      </w:pPr>
      <w:r>
        <w:rPr>
          <w:sz w:val="4"/>
        </w:rPr>
      </w:r>
    </w:p>
    <w:p>
      <w:pPr>
        <w:pStyle w:val="Heading2"/>
      </w:pPr>
      <w:r>
        <w:t>The first milestone</w:t>
      </w:r>
    </w:p>
    <w:p>
      <w:r>
        <w:t>Complete RWC-01 and RWC-02, then build the smallest provider–gateway–consumer witness path for RWC-03. Use a full-snapshot cache first. Implement selective guards only when the correctness fixtures and timing show why they matter. This avoids making the hardest optimization a prerequisite for learning whether the product helps agents.</w:t>
      </w:r>
    </w:p>
    <w:p>
      <w:r>
        <w:t>Do not train a model, build a hosted fleet or publish savings claims during this milestone. The first decision is whether the ten-task feasibility check shows a credible same-model benefit. Maintain a path back to ordinary source search when the evidence layer cannot answer.</w:t>
      </w:r>
    </w:p>
    <w:p>
      <w:pPr>
        <w:pStyle w:val="Heading2"/>
      </w:pPr>
      <w:r>
        <w:t>Engineering constraints</w:t>
      </w:r>
    </w:p>
    <w:p>
      <w:r>
        <w:t>Keep new modules within the repository's 300-line production limit and respect downward dependency rules. Do not add a second parser, canonicalizer or graph engine behind the adapter. Preserve user work, run contract and layer checks, and re-ingest before stored-graph accuracy evaluation when extraction or linking changes. Separate source, tests, installation, live agent behavior and release evidence.</w:t>
      </w:r>
    </w:p>
    <w:p>
      <w:pPr>
        <w:pStyle w:val="Heading1"/>
        <w:pageBreakBefore/>
      </w:pPr>
      <w:r>
        <w:t>Open source strategy and long term advantage</w:t>
      </w:r>
    </w:p>
    <w:p>
      <w:r>
        <w:t>The recommended initial user is a platform or developer-productivity team supporting agents across several services. Start with contract migrations and configuration-dependent changes because their evidence can cross repository boundaries and their outcomes can be tested. Broaden only after the first use case produces repeatable results.</w:t>
      </w:r>
    </w:p>
    <w:p>
      <w:r>
        <w:t>Release the deterministic kernel, packet schema, validator, local CLI/MCP adapter and benchmark fixtures openly. Source access and truthful incompleteness should not be premium features. Keep model credentials in the host and make paid remote services optional. An organization must be able to reproduce why a packet contained a fact without depending on a hosted black box.</w:t>
      </w:r>
    </w:p>
    <w:p>
      <w:pPr>
        <w:pStyle w:val="Heading2"/>
      </w:pPr>
      <w:r>
        <w:t>What can become defensible</w:t>
      </w:r>
    </w:p>
    <w:p>
      <w:r>
        <w:t>The difficult asset is the tested mapping from real code and configuration to dependable cross-repository evidence. Build fixtures around ambiguous providers, gateway rewrites, generated clients, partial language support and new-consumer invalidation. Add regressions from opt-in user reports after removing private source and secrets. A growing suite of difficult cases is more valuable than an opaque relevance score.</w:t>
      </w:r>
    </w:p>
    <w:p>
      <w:r>
        <w:t>A second advantage is integration reliability. Make packet inspection, source expansion, refresh and usage accounting work predictably in more than one real agent host. Measure the friction of installation and task setup. A powerful tool that developers must repeatedly remind an agent to call may have less economic value than a modest tool integrated at the right point.</w:t>
      </w:r>
    </w:p>
    <w:p>
      <w:r>
        <w:t>Optional commercial services can cover access-controlled artifact distribution, fleet refresh, usage reporting, operational support and managed deployment. Prefer predictable pricing tied to managed scope or active users over a charge for every context query. Pricing and willingness to pay still need customer validation; no market-size or revenue forecast is asserted here.</w:t>
      </w:r>
    </w:p>
    <w:p>
      <w:pPr>
        <w:pStyle w:val="Heading2"/>
      </w:pPr>
      <w:r>
        <w:t>The larger research direction</w:t>
      </w:r>
    </w:p>
    <w:p>
      <w:r>
        <w:t>If same-model savings are established, test whether cheaper models can complete the same tasks when mechanical repository investigation is handled by the evidence layer. Keep this as a separate quality–cost comparison. Small-model routing can produce a larger effect, but can also increase repair loops or missed edge cases.</w:t>
      </w:r>
    </w:p>
    <w:p>
      <w:r>
        <w:t>Over time, multiple authorized agents could share immutable evidence computations while maintaining separate task plans and working trees. The shared object should be a recheckable fact or observed validation result, not a transcript of speculative reasoning. Learn from which obligations repeatedly require expansion, but promote new selection policies only after held-out evaluation.</w:t>
      </w:r>
    </w:p>
    <w:p>
      <w:pPr>
        <w:pStyle w:val="Heading2"/>
      </w:pPr>
      <w:r>
        <w:t>Decision</w:t>
      </w:r>
    </w:p>
    <w:p>
      <w:r>
        <w:t>Proceed with the narrow Evidence Compiler experiment. Make the new-consumer invalidation example and full cost accounting its defining demonstrations. Keep the broad ambition: a reusable code-evidence layer that lets different agents spend more of their budget on the actual change. Earn that position through measured outcomes rather than a worldwide-first claim.</w:t>
      </w:r>
    </w:p>
    <w:p>
      <w:r>
        <w:t>The next authorized engineering step should be RWC-01 and RWC-02, followed by the bounded RWC-03 prototype. A successful pilot would justify deeper algorithm work and a second integration. A negative pilot should lead to a smaller scope or a stop, not a renamed promise.</w:t>
      </w:r>
    </w:p>
    <w:p>
      <w:pPr>
        <w:pStyle w:val="Heading1"/>
        <w:pageBreakBefore/>
      </w:pPr>
      <w:r>
        <w:t>Sources</w:t>
      </w:r>
    </w:p>
    <w:p>
      <w:r>
        <w:t>Numbered sources correspond to the footnotes. Live documentation and public project descriptions were accessed September 13 2026. Product claims and preprint results are identified as such; they are not independently reproduced performance results.</w:t>
      </w:r>
    </w:p>
    <w:p>
      <w:pPr>
        <w:pStyle w:val="SourceEntry"/>
      </w:pPr>
      <w:r>
        <w:rPr>
          <w:b/>
        </w:rPr>
        <w:t xml:space="preserve">1. </w:t>
      </w:r>
      <w:r>
        <w:t>Anthropic. Pricing. Live Claude Platform documentation, accessed September 13 2026.</w:t>
      </w:r>
      <w:r>
        <w:t xml:space="preserve"> </w:t>
      </w:r>
      <w:hyperlink r:id="rId10">
        <w:r>
          <w:rPr>
            <w:color w:val="254C69"/>
            <w:u w:val="single"/>
          </w:rPr>
          <w:t xml:space="preserve">Anthropic, Pricing</w:t>
        </w:r>
      </w:hyperlink>
    </w:p>
    <w:p>
      <w:pPr>
        <w:pStyle w:val="SourceEntry"/>
      </w:pPr>
      <w:r>
        <w:rPr>
          <w:b/>
        </w:rPr>
        <w:t xml:space="preserve">2. </w:t>
      </w:r>
      <w:r>
        <w:t>Anthropic. Prompt caching. Live Claude Platform documentation, accessed September 13 2026.</w:t>
      </w:r>
      <w:r>
        <w:t xml:space="preserve"> </w:t>
      </w:r>
      <w:hyperlink r:id="rId11">
        <w:r>
          <w:rPr>
            <w:color w:val="254C69"/>
            <w:u w:val="single"/>
          </w:rPr>
          <w:t xml:space="preserve">Anthropic, Prompt caching</w:t>
        </w:r>
      </w:hyperlink>
    </w:p>
    <w:p>
      <w:pPr>
        <w:pStyle w:val="SourceEntry"/>
      </w:pPr>
      <w:r>
        <w:rPr>
          <w:b/>
        </w:rPr>
        <w:t xml:space="preserve">3. </w:t>
      </w:r>
      <w:r>
        <w:t>Aider project. Repository map. Live documentation, accessed September 13 2026.</w:t>
      </w:r>
      <w:r>
        <w:t xml:space="preserve"> </w:t>
      </w:r>
      <w:hyperlink r:id="rId12">
        <w:r>
          <w:rPr>
            <w:color w:val="254C69"/>
            <w:u w:val="single"/>
          </w:rPr>
          <w:t xml:space="preserve">Aider, Repository map</w:t>
        </w:r>
      </w:hyperlink>
    </w:p>
    <w:p>
      <w:pPr>
        <w:pStyle w:val="SourceEntry"/>
      </w:pPr>
      <w:r>
        <w:rPr>
          <w:b/>
        </w:rPr>
        <w:t xml:space="preserve">4. </w:t>
      </w:r>
      <w:r>
        <w:t>Oraios. About Serena. Live documentation, accessed September 13 2026.</w:t>
      </w:r>
      <w:r>
        <w:t xml:space="preserve"> </w:t>
      </w:r>
      <w:hyperlink r:id="rId13">
        <w:r>
          <w:rPr>
            <w:color w:val="254C69"/>
            <w:u w:val="single"/>
          </w:rPr>
          <w:t xml:space="preserve">Oraios, About Serena</w:t>
        </w:r>
      </w:hyperlink>
    </w:p>
    <w:p>
      <w:pPr>
        <w:pStyle w:val="SourceEntry"/>
      </w:pPr>
      <w:r>
        <w:rPr>
          <w:b/>
        </w:rPr>
        <w:t xml:space="preserve">5. </w:t>
      </w:r>
      <w:r>
        <w:t>Augment Code. Context Engine MCP. Live documentation, accessed September 13 2026.</w:t>
      </w:r>
      <w:r>
        <w:t xml:space="preserve"> </w:t>
      </w:r>
      <w:hyperlink r:id="rId14">
        <w:r>
          <w:rPr>
            <w:color w:val="254C69"/>
            <w:u w:val="single"/>
          </w:rPr>
          <w:t xml:space="preserve">Augment, Context Engine MCP</w:t>
        </w:r>
      </w:hyperlink>
    </w:p>
    <w:p>
      <w:pPr>
        <w:pStyle w:val="SourceEntry"/>
      </w:pPr>
      <w:r>
        <w:rPr>
          <w:b/>
        </w:rPr>
        <w:t xml:space="preserve">6. </w:t>
      </w:r>
      <w:r>
        <w:t>Yuhang Wang and colleagues. SWE-Pruner Self-Adaptive Context Pruning for Coding Agents, January 2026, and SWE-Pruner Pro The Coder LLM Already Knows What to Prune, July 2026. Author-reported preprint results.</w:t>
      </w:r>
      <w:r>
        <w:t xml:space="preserve"> </w:t>
      </w:r>
      <w:hyperlink r:id="rId15">
        <w:r>
          <w:rPr>
            <w:color w:val="254C69"/>
            <w:u w:val="single"/>
          </w:rPr>
          <w:t xml:space="preserve">Wang et al., SWE-Pruner</w:t>
        </w:r>
      </w:hyperlink>
      <w:r>
        <w:t xml:space="preserve"> · </w:t>
      </w:r>
      <w:hyperlink r:id="rId16">
        <w:r>
          <w:rPr>
            <w:color w:val="254C69"/>
            <w:u w:val="single"/>
          </w:rPr>
          <w:t xml:space="preserve">Wang et al., SWE-Pruner Pro</w:t>
        </w:r>
      </w:hyperlink>
    </w:p>
    <w:p>
      <w:pPr>
        <w:pStyle w:val="SourceEntry"/>
      </w:pPr>
      <w:r>
        <w:rPr>
          <w:b/>
        </w:rPr>
        <w:t xml:space="preserve">7. </w:t>
      </w:r>
      <w:r>
        <w:t>Jingjing Wang and colleagues. Context Pruning for Coding Agents via Multi-Rubric Latent Reasoning. May 14 2026. Preprint.</w:t>
      </w:r>
      <w:r>
        <w:t xml:space="preserve"> </w:t>
      </w:r>
      <w:hyperlink r:id="rId17">
        <w:r>
          <w:rPr>
            <w:color w:val="254C69"/>
            <w:u w:val="single"/>
          </w:rPr>
          <w:t xml:space="preserve">Wang et al., Context Pruning via Multi-Rubric Latent Reasoning</w:t>
        </w:r>
      </w:hyperlink>
    </w:p>
    <w:p>
      <w:pPr>
        <w:pStyle w:val="SourceEntry"/>
      </w:pPr>
      <w:r>
        <w:rPr>
          <w:b/>
        </w:rPr>
        <w:t xml:space="preserve">8. </w:t>
      </w:r>
      <w:r>
        <w:t>Qarinah project. Proof-carrying task context. Public project documentation, accessed September 13 2026.</w:t>
      </w:r>
      <w:r>
        <w:t xml:space="preserve"> </w:t>
      </w:r>
      <w:hyperlink r:id="rId18">
        <w:r>
          <w:rPr>
            <w:color w:val="254C69"/>
            <w:u w:val="single"/>
          </w:rPr>
          <w:t xml:space="preserve">Qarinah, Proof-carrying task context</w:t>
        </w:r>
      </w:hyperlink>
    </w:p>
    <w:p>
      <w:pPr>
        <w:pStyle w:val="SourceEntry"/>
      </w:pPr>
      <w:r>
        <w:rPr>
          <w:b/>
        </w:rPr>
        <w:t xml:space="preserve">9. </w:t>
      </w:r>
      <w:r>
        <w:t>Grape project. V1 Context Artifact. Public implementation-facing contract, accessed September 13 2026.</w:t>
      </w:r>
      <w:r>
        <w:t xml:space="preserve"> </w:t>
      </w:r>
      <w:hyperlink r:id="rId19">
        <w:r>
          <w:rPr>
            <w:color w:val="254C69"/>
            <w:u w:val="single"/>
          </w:rPr>
          <w:t xml:space="preserve">Grape, V1 Context Artifact</w:t>
        </w:r>
      </w:hyperlink>
    </w:p>
    <w:p>
      <w:pPr>
        <w:pStyle w:val="SourceEntry"/>
      </w:pPr>
      <w:r>
        <w:rPr>
          <w:b/>
        </w:rPr>
        <w:t xml:space="preserve">10. </w:t>
      </w:r>
      <w:r>
        <w:t>Piyush Kumar. Proof-Carrying Context Why AI Agents Need More Than a Context Window. ContextOS, August 28 2026. Vendor architecture article.</w:t>
      </w:r>
      <w:r>
        <w:t xml:space="preserve"> </w:t>
      </w:r>
      <w:hyperlink r:id="rId20">
        <w:r>
          <w:rPr>
            <w:color w:val="254C69"/>
            <w:u w:val="single"/>
          </w:rPr>
          <w:t xml:space="preserve">Kumar, Proof-Carrying Context</w:t>
        </w:r>
      </w:hyperlink>
    </w:p>
    <w:p>
      <w:pPr>
        <w:pStyle w:val="SourceEntry"/>
      </w:pPr>
      <w:r>
        <w:rPr>
          <w:b/>
        </w:rPr>
        <w:t xml:space="preserve">11. </w:t>
      </w:r>
      <w:r>
        <w:t>Ramakrishna Bairi and colleagues. CodePlan Repository-level Coding using LLMs and Planning, 2023. Bazel project. Remote Caching, live documentation accessed September 13 2026. Edmund Clarke and colleagues. Counterexample-guided Abstraction Refinement, CAV 2000.</w:t>
      </w:r>
      <w:r>
        <w:t xml:space="preserve"> </w:t>
      </w:r>
      <w:hyperlink r:id="rId21">
        <w:r>
          <w:rPr>
            <w:color w:val="254C69"/>
            <w:u w:val="single"/>
          </w:rPr>
          <w:t xml:space="preserve">Bairi et al., CodePlan</w:t>
        </w:r>
      </w:hyperlink>
      <w:r>
        <w:t xml:space="preserve"> · </w:t>
      </w:r>
      <w:hyperlink r:id="rId22">
        <w:r>
          <w:rPr>
            <w:color w:val="254C69"/>
            <w:u w:val="single"/>
          </w:rPr>
          <w:t xml:space="preserve">Bazel, Remote Caching</w:t>
        </w:r>
      </w:hyperlink>
      <w:r>
        <w:t xml:space="preserve"> · </w:t>
      </w:r>
      <w:hyperlink r:id="rId23">
        <w:r>
          <w:rPr>
            <w:color w:val="254C69"/>
            <w:u w:val="single"/>
          </w:rPr>
          <w:t xml:space="preserve">Clarke et al., CEGAR</w:t>
        </w:r>
      </w:hyperlink>
    </w:p>
    <w:p>
      <w:pPr>
        <w:pStyle w:val="SourceEntry"/>
      </w:pPr>
      <w:r>
        <w:rPr>
          <w:b/>
        </w:rPr>
        <w:t xml:space="preserve">12. </w:t>
      </w:r>
      <w:r>
        <w:t>Cyrus Rashtchian and Da-Cheng Juan. Deeper insights into retrieval augmented generation The role of sufficient context. Google Research, May 14 2025.</w:t>
      </w:r>
      <w:r>
        <w:t xml:space="preserve"> </w:t>
      </w:r>
      <w:hyperlink r:id="rId24">
        <w:r>
          <w:rPr>
            <w:color w:val="254C69"/>
            <w:u w:val="single"/>
          </w:rPr>
          <w:t xml:space="preserve">Google Research, The role of sufficient context</w:t>
        </w:r>
      </w:hyperlink>
    </w:p>
    <w:p>
      <w:pPr>
        <w:pStyle w:val="SourceEntry"/>
      </w:pPr>
      <w:r>
        <w:rPr>
          <w:b/>
        </w:rPr>
        <w:t xml:space="preserve">13. </w:t>
      </w:r>
      <w:r>
        <w:t>TraceKite source review, September 13 2026. Initial snapshot 417bf80; relevant source and normative documents were unchanged when rechecked at acfbd666d5b2953b28c2c4ac6a75d46a2ff0f260. Relevant files: backend/tracekite/answer.py lines 92–121 and 124–198; facade.py lines 144–188; mcp_envelope.py lines 97–114; source_meta.py lines 39–65 and 116–158; services/evidence_reverify.py lines 25–52; docs/design/architecture.md sections 1–2; docs/design/intelligence-release-plan.md; tasks.csv. Initial contract validation passed 41 tests in test_answer_contract.py, test_facade.py and test_completeness.py. No application changes were made for this report.</w:t>
      </w:r>
    </w:p>
    <w:p>
      <w:pPr>
        <w:pStyle w:val="SourceEntry"/>
      </w:pPr>
      <w:r>
        <w:rPr>
          <w:b/>
        </w:rPr>
        <w:t xml:space="preserve">14. </w:t>
      </w:r>
      <w:r>
        <w:t>Siru Ouyang and colleagues. RepoGraph Enhancing AI Software Engineering with Repository-level Code Graph, 2024. Pujun Zheng and colleagues. SWE-Bench Pro Verified A Reliable Benchmark for Software Engineering Agents, September 8 2026. The latter is a recent preprint; its conclusions are author-reported.</w:t>
      </w:r>
      <w:r>
        <w:t xml:space="preserve"> </w:t>
      </w:r>
      <w:hyperlink r:id="rId25">
        <w:r>
          <w:rPr>
            <w:color w:val="254C69"/>
            <w:u w:val="single"/>
          </w:rPr>
          <w:t xml:space="preserve">Ouyang et al., RepoGraph</w:t>
        </w:r>
      </w:hyperlink>
      <w:r>
        <w:t xml:space="preserve"> · </w:t>
      </w:r>
      <w:hyperlink r:id="rId26">
        <w:r>
          <w:rPr>
            <w:color w:val="254C69"/>
            <w:u w:val="single"/>
          </w:rPr>
          <w:t xml:space="preserve">Zheng et al., SWE-Bench Pro Verified</w:t>
        </w:r>
      </w:hyperlink>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r="http://schemas.openxmlformats.org/officeDocument/2006/relationships">
  <w:footnote w:id="-1" w:type="separator">
    <w:p>
      <w:r>
        <w:separator/>
      </w:r>
    </w:p>
  </w:footnote>
  <w:footnote w:id="0" w:type="continuationSeparator">
    <w:p>
      <w:r>
        <w:continuationSeparator/>
      </w:r>
    </w:p>
  </w:footnote>
  <w:footnote w:id="1">
    <w:p>
      <w:pPr>
        <w:pStyle w:val="FootnoteText"/>
      </w:pPr>
      <w:r>
        <w:footnoteRef/>
      </w:r>
      <w:r>
        <w:t xml:space="preserve"> </w:t>
      </w:r>
      <w:hyperlink r:id="rId1">
        <w:r>
          <w:rPr>
            <w:color w:val="254C69"/>
            <w:u w:val="single"/>
          </w:rPr>
          <w:t xml:space="preserve">Anthropic, Pricing</w:t>
        </w:r>
      </w:hyperlink>
    </w:p>
  </w:footnote>
  <w:footnote w:id="2">
    <w:p>
      <w:pPr>
        <w:pStyle w:val="FootnoteText"/>
      </w:pPr>
      <w:r>
        <w:footnoteRef/>
      </w:r>
      <w:r>
        <w:t xml:space="preserve"> </w:t>
      </w:r>
      <w:hyperlink r:id="rId2">
        <w:r>
          <w:rPr>
            <w:color w:val="254C69"/>
            <w:u w:val="single"/>
          </w:rPr>
          <w:t xml:space="preserve">Anthropic, Prompt caching</w:t>
        </w:r>
      </w:hyperlink>
    </w:p>
  </w:footnote>
  <w:footnote w:id="3">
    <w:p>
      <w:pPr>
        <w:pStyle w:val="FootnoteText"/>
      </w:pPr>
      <w:r>
        <w:footnoteRef/>
      </w:r>
      <w:r>
        <w:t xml:space="preserve"> </w:t>
      </w:r>
      <w:hyperlink r:id="rId3">
        <w:r>
          <w:rPr>
            <w:color w:val="254C69"/>
            <w:u w:val="single"/>
          </w:rPr>
          <w:t xml:space="preserve">Aider, Repository map</w:t>
        </w:r>
      </w:hyperlink>
    </w:p>
  </w:footnote>
  <w:footnote w:id="4">
    <w:p>
      <w:pPr>
        <w:pStyle w:val="FootnoteText"/>
      </w:pPr>
      <w:r>
        <w:footnoteRef/>
      </w:r>
      <w:r>
        <w:t xml:space="preserve"> </w:t>
      </w:r>
      <w:hyperlink r:id="rId4">
        <w:r>
          <w:rPr>
            <w:color w:val="254C69"/>
            <w:u w:val="single"/>
          </w:rPr>
          <w:t xml:space="preserve">Oraios, About Serena</w:t>
        </w:r>
      </w:hyperlink>
    </w:p>
  </w:footnote>
  <w:footnote w:id="5">
    <w:p>
      <w:pPr>
        <w:pStyle w:val="FootnoteText"/>
      </w:pPr>
      <w:r>
        <w:footnoteRef/>
      </w:r>
      <w:r>
        <w:t xml:space="preserve"> </w:t>
      </w:r>
      <w:hyperlink r:id="rId5">
        <w:r>
          <w:rPr>
            <w:color w:val="254C69"/>
            <w:u w:val="single"/>
          </w:rPr>
          <w:t xml:space="preserve">Augment, Context Engine MCP</w:t>
        </w:r>
      </w:hyperlink>
    </w:p>
  </w:footnote>
  <w:footnote w:id="6">
    <w:p>
      <w:pPr>
        <w:pStyle w:val="FootnoteText"/>
      </w:pPr>
      <w:r>
        <w:footnoteRef/>
      </w:r>
      <w:r>
        <w:t xml:space="preserve"> </w:t>
      </w:r>
      <w:hyperlink r:id="rId6">
        <w:r>
          <w:rPr>
            <w:color w:val="254C69"/>
            <w:u w:val="single"/>
          </w:rPr>
          <w:t xml:space="preserve">Wang et al., SWE-Pruner</w:t>
        </w:r>
      </w:hyperlink>
      <w:r>
        <w:t xml:space="preserve">; </w:t>
      </w:r>
      <w:hyperlink r:id="rId7">
        <w:r>
          <w:rPr>
            <w:color w:val="254C69"/>
            <w:u w:val="single"/>
          </w:rPr>
          <w:t xml:space="preserve">Wang et al., SWE-Pruner Pro</w:t>
        </w:r>
      </w:hyperlink>
    </w:p>
  </w:footnote>
  <w:footnote w:id="7">
    <w:p>
      <w:pPr>
        <w:pStyle w:val="FootnoteText"/>
      </w:pPr>
      <w:r>
        <w:footnoteRef/>
      </w:r>
      <w:r>
        <w:t xml:space="preserve"> </w:t>
      </w:r>
      <w:hyperlink r:id="rId8">
        <w:r>
          <w:rPr>
            <w:color w:val="254C69"/>
            <w:u w:val="single"/>
          </w:rPr>
          <w:t xml:space="preserve">Wang et al., Context Pruning via Multi-Rubric Latent Reasoning</w:t>
        </w:r>
      </w:hyperlink>
    </w:p>
  </w:footnote>
  <w:footnote w:id="8">
    <w:p>
      <w:pPr>
        <w:pStyle w:val="FootnoteText"/>
      </w:pPr>
      <w:r>
        <w:footnoteRef/>
      </w:r>
      <w:r>
        <w:t xml:space="preserve"> </w:t>
      </w:r>
      <w:hyperlink r:id="rId9">
        <w:r>
          <w:rPr>
            <w:color w:val="254C69"/>
            <w:u w:val="single"/>
          </w:rPr>
          <w:t xml:space="preserve">Qarinah, Proof-carrying task context</w:t>
        </w:r>
      </w:hyperlink>
    </w:p>
  </w:footnote>
  <w:footnote w:id="9">
    <w:p>
      <w:pPr>
        <w:pStyle w:val="FootnoteText"/>
      </w:pPr>
      <w:r>
        <w:footnoteRef/>
      </w:r>
      <w:r>
        <w:t xml:space="preserve"> </w:t>
      </w:r>
      <w:hyperlink r:id="rId10">
        <w:r>
          <w:rPr>
            <w:color w:val="254C69"/>
            <w:u w:val="single"/>
          </w:rPr>
          <w:t xml:space="preserve">Grape, V1 Context Artifact</w:t>
        </w:r>
      </w:hyperlink>
    </w:p>
  </w:footnote>
  <w:footnote w:id="10">
    <w:p>
      <w:pPr>
        <w:pStyle w:val="FootnoteText"/>
      </w:pPr>
      <w:r>
        <w:footnoteRef/>
      </w:r>
      <w:r>
        <w:t xml:space="preserve"> </w:t>
      </w:r>
      <w:hyperlink r:id="rId11">
        <w:r>
          <w:rPr>
            <w:color w:val="254C69"/>
            <w:u w:val="single"/>
          </w:rPr>
          <w:t xml:space="preserve">Kumar, Proof-Carrying Context</w:t>
        </w:r>
      </w:hyperlink>
    </w:p>
  </w:footnote>
  <w:footnote w:id="11">
    <w:p>
      <w:pPr>
        <w:pStyle w:val="FootnoteText"/>
      </w:pPr>
      <w:r>
        <w:footnoteRef/>
      </w:r>
      <w:r>
        <w:t xml:space="preserve"> </w:t>
      </w:r>
      <w:hyperlink r:id="rId12">
        <w:r>
          <w:rPr>
            <w:color w:val="254C69"/>
            <w:u w:val="single"/>
          </w:rPr>
          <w:t xml:space="preserve">Bairi et al., CodePlan</w:t>
        </w:r>
      </w:hyperlink>
      <w:r>
        <w:t xml:space="preserve">; </w:t>
      </w:r>
      <w:hyperlink r:id="rId13">
        <w:r>
          <w:rPr>
            <w:color w:val="254C69"/>
            <w:u w:val="single"/>
          </w:rPr>
          <w:t xml:space="preserve">Bazel, Remote Caching</w:t>
        </w:r>
      </w:hyperlink>
      <w:r>
        <w:t xml:space="preserve">; </w:t>
      </w:r>
      <w:hyperlink r:id="rId14">
        <w:r>
          <w:rPr>
            <w:color w:val="254C69"/>
            <w:u w:val="single"/>
          </w:rPr>
          <w:t xml:space="preserve">Clarke et al., CEGAR</w:t>
        </w:r>
      </w:hyperlink>
    </w:p>
  </w:footnote>
  <w:footnote w:id="12">
    <w:p>
      <w:pPr>
        <w:pStyle w:val="FootnoteText"/>
      </w:pPr>
      <w:r>
        <w:footnoteRef/>
      </w:r>
      <w:r>
        <w:t xml:space="preserve"> </w:t>
      </w:r>
      <w:hyperlink r:id="rId15">
        <w:r>
          <w:rPr>
            <w:color w:val="254C69"/>
            <w:u w:val="single"/>
          </w:rPr>
          <w:t xml:space="preserve">Google Research, The role of sufficient context</w:t>
        </w:r>
      </w:hyperlink>
    </w:p>
  </w:footnote>
  <w:footnote w:id="13">
    <w:p>
      <w:pPr>
        <w:pStyle w:val="FootnoteText"/>
      </w:pPr>
      <w:r>
        <w:footnoteRef/>
      </w:r>
      <w:r>
        <w:t xml:space="preserve"> </w:t>
      </w:r>
      <w:r>
        <w:t xml:space="preserve">TraceKite source rechecked at acfbd66; source files and validation details appear in Sources.</w:t>
      </w:r>
    </w:p>
  </w:footnote>
  <w:footnote w:id="14">
    <w:p>
      <w:pPr>
        <w:pStyle w:val="FootnoteText"/>
      </w:pPr>
      <w:r>
        <w:footnoteRef/>
      </w:r>
      <w:r>
        <w:t xml:space="preserve"> </w:t>
      </w:r>
      <w:hyperlink r:id="rId16">
        <w:r>
          <w:rPr>
            <w:color w:val="254C69"/>
            <w:u w:val="single"/>
          </w:rPr>
          <w:t xml:space="preserve">Ouyang et al., RepoGraph</w:t>
        </w:r>
      </w:hyperlink>
      <w:r>
        <w:t xml:space="preserve">; </w:t>
      </w:r>
      <w:hyperlink r:id="rId17">
        <w:r>
          <w:rPr>
            <w:color w:val="254C69"/>
            <w:u w:val="single"/>
          </w:rPr>
          <w:t xml:space="preserve">Zheng et al., SWE-Bench Pro Verified</w:t>
        </w:r>
      </w:hyperlink>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20" w:line="252" w:lineRule="auto"/>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00" w:line="252"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52"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spacing w:line="259" w:lineRule="auto" w:after="120"/>
      <w:ind w:left="245" w:hanging="187"/>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spacing w:line="259" w:lineRule="auto" w:after="120"/>
      <w:ind w:left="245" w:hanging="187"/>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ram">
    <w:name w:val="Program"/>
    <w:pPr>
      <w:keepLines/>
      <w:spacing w:before="100" w:after="180" w:line="240" w:lineRule="auto"/>
    </w:pPr>
    <w:rPr>
      <w:rFonts w:ascii="Courier New" w:hAnsi="Courier New"/>
      <w:sz w:val="19"/>
    </w:rPr>
  </w:style>
  <w:style w:type="paragraph" w:customStyle="1" w:styleId="FootnoteText">
    <w:name w:val="Footnote Text"/>
    <w:pPr>
      <w:keepLines/>
      <w:spacing w:line="247" w:lineRule="auto" w:after="40"/>
    </w:pPr>
    <w:rPr>
      <w:rFonts w:ascii="Arial" w:hAnsi="Arial"/>
      <w:color w:val="000000"/>
      <w:sz w:val="18"/>
    </w:rPr>
  </w:style>
  <w:style w:type="paragraph" w:customStyle="1" w:styleId="SourceEntry">
    <w:name w:val="Source Entry"/>
    <w:pPr>
      <w:keepLines/>
      <w:spacing w:line="264" w:lineRule="auto" w:after="180"/>
    </w:pPr>
    <w:rPr>
      <w:rFonts w:ascii="Arial" w:hAnsi="Arial"/>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hyperlink" Target="https://platform.claude.com/docs/en/about-claude/pricing" TargetMode="External"/><Relationship Id="rId11" Type="http://schemas.openxmlformats.org/officeDocument/2006/relationships/hyperlink" Target="https://platform.claude.com/docs/en/build-with-claude/prompt-caching" TargetMode="External"/><Relationship Id="rId12" Type="http://schemas.openxmlformats.org/officeDocument/2006/relationships/hyperlink" Target="https://aider.chat/docs/repomap.html" TargetMode="External"/><Relationship Id="rId13" Type="http://schemas.openxmlformats.org/officeDocument/2006/relationships/hyperlink" Target="https://oraios.github.io/serena/01-about/000_intro.html" TargetMode="External"/><Relationship Id="rId14" Type="http://schemas.openxmlformats.org/officeDocument/2006/relationships/hyperlink" Target="https://docs.augmentcode.com/context-services/mcp/overview" TargetMode="External"/><Relationship Id="rId15" Type="http://schemas.openxmlformats.org/officeDocument/2006/relationships/hyperlink" Target="https://arxiv.org/abs/2601.16746" TargetMode="External"/><Relationship Id="rId16" Type="http://schemas.openxmlformats.org/officeDocument/2006/relationships/hyperlink" Target="https://arxiv.org/abs/2607.18213" TargetMode="External"/><Relationship Id="rId17" Type="http://schemas.openxmlformats.org/officeDocument/2006/relationships/hyperlink" Target="https://arxiv.org/abs/2605.15315" TargetMode="External"/><Relationship Id="rId18" Type="http://schemas.openxmlformats.org/officeDocument/2006/relationships/hyperlink" Target="https://github.com/AjnasNB/qarinah/blob/main/docs/PROOF-CARRYING-CONTEXT.md" TargetMode="External"/><Relationship Id="rId19" Type="http://schemas.openxmlformats.org/officeDocument/2006/relationships/hyperlink" Target="https://github.com/gael55x/Grape/blob/main/docs/v1/contracts/context-artifact.md" TargetMode="External"/><Relationship Id="rId20" Type="http://schemas.openxmlformats.org/officeDocument/2006/relationships/hyperlink" Target="https://contextosai.com/blog/context-proof-carrying-materialized-view" TargetMode="External"/><Relationship Id="rId21" Type="http://schemas.openxmlformats.org/officeDocument/2006/relationships/hyperlink" Target="https://arxiv.org/abs/2309.12499" TargetMode="External"/><Relationship Id="rId22" Type="http://schemas.openxmlformats.org/officeDocument/2006/relationships/hyperlink" Target="https://bazel.build/remote/caching" TargetMode="External"/><Relationship Id="rId23" Type="http://schemas.openxmlformats.org/officeDocument/2006/relationships/hyperlink" Target="https://www.cs.cmu.edu/~emc/papers/Conference%20Papers/Counterexample-guided%20Abstraction%20Refinement.pdf" TargetMode="External"/><Relationship Id="rId24" Type="http://schemas.openxmlformats.org/officeDocument/2006/relationships/hyperlink" Target="https://research.google/blog/deeper-insights-into-retrieval-augmented-generation-the-role-of-sufficient-context/" TargetMode="External"/><Relationship Id="rId25" Type="http://schemas.openxmlformats.org/officeDocument/2006/relationships/hyperlink" Target="https://arxiv.org/abs/2410.14684" TargetMode="External"/><Relationship Id="rId26" Type="http://schemas.openxmlformats.org/officeDocument/2006/relationships/hyperlink" Target="https://arxiv.org/abs/2609.08149"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platform.claude.com/docs/en/about-claude/pricing" TargetMode="External"/><Relationship Id="rId2" Type="http://schemas.openxmlformats.org/officeDocument/2006/relationships/hyperlink" Target="https://platform.claude.com/docs/en/build-with-claude/prompt-caching" TargetMode="External"/><Relationship Id="rId3" Type="http://schemas.openxmlformats.org/officeDocument/2006/relationships/hyperlink" Target="https://aider.chat/docs/repomap.html" TargetMode="External"/><Relationship Id="rId4" Type="http://schemas.openxmlformats.org/officeDocument/2006/relationships/hyperlink" Target="https://oraios.github.io/serena/01-about/000_intro.html" TargetMode="External"/><Relationship Id="rId5" Type="http://schemas.openxmlformats.org/officeDocument/2006/relationships/hyperlink" Target="https://docs.augmentcode.com/context-services/mcp/overview" TargetMode="External"/><Relationship Id="rId6" Type="http://schemas.openxmlformats.org/officeDocument/2006/relationships/hyperlink" Target="https://arxiv.org/abs/2601.16746" TargetMode="External"/><Relationship Id="rId7" Type="http://schemas.openxmlformats.org/officeDocument/2006/relationships/hyperlink" Target="https://arxiv.org/abs/2607.18213" TargetMode="External"/><Relationship Id="rId8" Type="http://schemas.openxmlformats.org/officeDocument/2006/relationships/hyperlink" Target="https://arxiv.org/abs/2605.15315" TargetMode="External"/><Relationship Id="rId9" Type="http://schemas.openxmlformats.org/officeDocument/2006/relationships/hyperlink" Target="https://github.com/AjnasNB/qarinah/blob/main/docs/PROOF-CARRYING-CONTEXT.md" TargetMode="External"/><Relationship Id="rId10" Type="http://schemas.openxmlformats.org/officeDocument/2006/relationships/hyperlink" Target="https://github.com/gael55x/Grape/blob/main/docs/v1/contracts/context-artifact.md" TargetMode="External"/><Relationship Id="rId11" Type="http://schemas.openxmlformats.org/officeDocument/2006/relationships/hyperlink" Target="https://contextosai.com/blog/context-proof-carrying-materialized-view" TargetMode="External"/><Relationship Id="rId12" Type="http://schemas.openxmlformats.org/officeDocument/2006/relationships/hyperlink" Target="https://arxiv.org/abs/2309.12499" TargetMode="External"/><Relationship Id="rId13" Type="http://schemas.openxmlformats.org/officeDocument/2006/relationships/hyperlink" Target="https://bazel.build/remote/caching" TargetMode="External"/><Relationship Id="rId14" Type="http://schemas.openxmlformats.org/officeDocument/2006/relationships/hyperlink" Target="https://www.cs.cmu.edu/~emc/papers/Conference%20Papers/Counterexample-guided%20Abstraction%20Refinement.pdf" TargetMode="External"/><Relationship Id="rId15" Type="http://schemas.openxmlformats.org/officeDocument/2006/relationships/hyperlink" Target="https://research.google/blog/deeper-insights-into-retrieval-augmented-generation-the-role-of-sufficient-context/" TargetMode="External"/><Relationship Id="rId16" Type="http://schemas.openxmlformats.org/officeDocument/2006/relationships/hyperlink" Target="https://arxiv.org/abs/2410.14684" TargetMode="External"/><Relationship Id="rId17" Type="http://schemas.openxmlformats.org/officeDocument/2006/relationships/hyperlink" Target="https://arxiv.org/abs/2609.08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TraceKite strategy for lower cost coding agents</dc:title>
  <dc:subject>Evidence Compiler strategy and Rendezvous Witness Compiler research design</dc:subject>
  <dc:creator>TraceKite</dc:creator>
  <cp:keywords>TraceKite, coding agents, token cost, evidence, context, algorithm</cp:keywords>
  <dc:description>generated by python-docx</dc:description>
  <cp:lastModifiedBy/>
  <cp:revision>1</cp:revision>
  <dcterms:created xsi:type="dcterms:W3CDTF">2013-12-23T23:15:00Z</dcterms:created>
  <dcterms:modified xsi:type="dcterms:W3CDTF">2013-12-23T23:15:00Z</dcterms:modified>
  <cp:category/>
</cp:coreProperties>
</file>