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EA86" w14:textId="2ED35F0E" w:rsidR="0071183E" w:rsidRDefault="0071183E" w:rsidP="0071183E">
      <w:pPr>
        <w:pStyle w:val="Title"/>
      </w:pPr>
      <w:r>
        <w:t>Traceability Driver Service: Security</w:t>
      </w:r>
    </w:p>
    <w:p w14:paraId="16A98A78" w14:textId="31CA87E6" w:rsidR="003D597A" w:rsidRDefault="0071183E" w:rsidP="00CD4213">
      <w:r>
        <w:t>The Traceability Driver Service uses</w:t>
      </w:r>
      <w:r w:rsidR="00207F3B">
        <w:t xml:space="preserve"> three layers of protection to secure data. </w:t>
      </w:r>
      <w:r w:rsidR="00FA5694">
        <w:t xml:space="preserve">The first layer prevents malicious third parties from intercepting </w:t>
      </w:r>
      <w:r w:rsidR="008B2E6F">
        <w:t>messages</w:t>
      </w:r>
      <w:r w:rsidR="008211F1">
        <w:t xml:space="preserve"> by </w:t>
      </w:r>
      <w:r w:rsidR="00C235F9">
        <w:t>using secure, HTTPS connections</w:t>
      </w:r>
      <w:r w:rsidR="008B2E6F">
        <w:t>. The second layer is</w:t>
      </w:r>
      <w:r w:rsidR="001B37A7">
        <w:t xml:space="preserve"> </w:t>
      </w:r>
      <w:r w:rsidR="00D42396">
        <w:t xml:space="preserve">a control that protects solution providers from data requests by </w:t>
      </w:r>
      <w:r w:rsidR="003B61F9">
        <w:t xml:space="preserve">any party </w:t>
      </w:r>
      <w:r w:rsidR="00185499">
        <w:t xml:space="preserve">that they have not </w:t>
      </w:r>
      <w:r w:rsidR="003B61F9">
        <w:t>registered as a trading partner. The final layer is</w:t>
      </w:r>
      <w:r>
        <w:t xml:space="preserve"> </w:t>
      </w:r>
      <w:r w:rsidR="004B421A">
        <w:t>public key encryption</w:t>
      </w:r>
      <w:r w:rsidR="003B61F9">
        <w:t xml:space="preserve">, which allows </w:t>
      </w:r>
      <w:r w:rsidR="0026012C">
        <w:t>solution providers to verify the identity of the party requesting data</w:t>
      </w:r>
      <w:r w:rsidR="00185499">
        <w:t xml:space="preserve"> based on a digital signature.</w:t>
      </w:r>
    </w:p>
    <w:p w14:paraId="0DDC5C71" w14:textId="29725FDC" w:rsidR="007372ED" w:rsidRDefault="007372ED" w:rsidP="007372ED">
      <w:pPr>
        <w:pStyle w:val="Heading1"/>
      </w:pPr>
      <w:r>
        <w:t>What data is being communicated?</w:t>
      </w:r>
    </w:p>
    <w:p w14:paraId="4395903E" w14:textId="5BCB8452" w:rsidR="004D56C1" w:rsidRPr="004D56C1" w:rsidRDefault="004D56C1" w:rsidP="004D56C1">
      <w:r>
        <w:t>The only data being communicated through the Traceability Driver to other solution providers is event data and master data. None of this data is cached in the Traceability Driver, so there each time that data is requested, the solution provider receiving the request must authenticate and return the  data requested. They have complete control over the data.</w:t>
      </w:r>
    </w:p>
    <w:p w14:paraId="12F4EACB" w14:textId="7F09B1EC" w:rsidR="007372ED" w:rsidRDefault="007372ED" w:rsidP="007372ED">
      <w:pPr>
        <w:pStyle w:val="Heading1"/>
      </w:pPr>
      <w:r>
        <w:t>What data is stored in the Traceability Driver</w:t>
      </w:r>
      <w:r w:rsidR="00A45430">
        <w:t xml:space="preserve"> and where is that stored</w:t>
      </w:r>
      <w:r>
        <w:t>?</w:t>
      </w:r>
    </w:p>
    <w:p w14:paraId="31FBB6ED" w14:textId="5B7F7E47" w:rsidR="004D56C1" w:rsidRPr="004D56C1" w:rsidRDefault="004D56C1" w:rsidP="004D56C1">
      <w:r>
        <w:t>The only data that is stored in the Traceability Driver are the added accounts and their associated trading partners. There are no other accounts added.</w:t>
      </w:r>
    </w:p>
    <w:p w14:paraId="6A71FD0B" w14:textId="04006D09" w:rsidR="0026012C" w:rsidRDefault="00DF5126" w:rsidP="00CD4213">
      <w:pPr>
        <w:pStyle w:val="Heading1"/>
      </w:pPr>
      <w:r>
        <w:t>HTTPS</w:t>
      </w:r>
    </w:p>
    <w:p w14:paraId="1F63B256" w14:textId="37742491" w:rsidR="00DF5126" w:rsidRDefault="001518E9" w:rsidP="00DF5126">
      <w:r>
        <w:t xml:space="preserve">HTTPS </w:t>
      </w:r>
      <w:r w:rsidR="00367550">
        <w:t xml:space="preserve">prevents third parties from intercepting </w:t>
      </w:r>
      <w:r w:rsidR="008327E2">
        <w:t xml:space="preserve">messages by encrypting all communications. Decrypting messages requires </w:t>
      </w:r>
      <w:r w:rsidR="00DE3A5D">
        <w:t>an</w:t>
      </w:r>
      <w:r w:rsidR="008327E2">
        <w:t xml:space="preserve"> appropriate certificate</w:t>
      </w:r>
      <w:r w:rsidR="00112817">
        <w:t xml:space="preserve"> that </w:t>
      </w:r>
      <w:r w:rsidR="00DE3A5D">
        <w:t>is</w:t>
      </w:r>
      <w:r w:rsidR="00112817">
        <w:t xml:space="preserve"> exceptionally difficult to reproduce.</w:t>
      </w:r>
    </w:p>
    <w:p w14:paraId="510649AF" w14:textId="1C8CF781" w:rsidR="00DF5126" w:rsidRDefault="00DF5126" w:rsidP="00CD4213">
      <w:pPr>
        <w:pStyle w:val="Heading1"/>
      </w:pPr>
      <w:r>
        <w:t>Trading Partners</w:t>
      </w:r>
    </w:p>
    <w:p w14:paraId="5F8B66E1" w14:textId="2819CB5A" w:rsidR="00CD4213" w:rsidRDefault="00401B05" w:rsidP="00CD4213">
      <w:r>
        <w:t>To prevent unallowed access to a user</w:t>
      </w:r>
      <w:r w:rsidR="00B41FD9">
        <w:t>’</w:t>
      </w:r>
      <w:r>
        <w:t xml:space="preserve">s data, the Traceability Driver Service requires both parties </w:t>
      </w:r>
      <w:r w:rsidR="000F1A0A">
        <w:t xml:space="preserve">of a data communication be registered as trading partners for each other. This </w:t>
      </w:r>
      <w:r w:rsidR="00FE31F6">
        <w:t>gives the user complete control over who has access to their data.</w:t>
      </w:r>
      <w:r w:rsidR="00B41FD9">
        <w:t xml:space="preserve"> If someone requests data from you, but you have not registered them as one of your trading partners, the request will be denied.</w:t>
      </w:r>
    </w:p>
    <w:p w14:paraId="009AF34C" w14:textId="3B799508" w:rsidR="00CD4213" w:rsidRDefault="00CD4213" w:rsidP="00CD4213">
      <w:pPr>
        <w:pStyle w:val="Heading2"/>
      </w:pPr>
      <w:r>
        <w:t>Trusted Solution Provider</w:t>
      </w:r>
    </w:p>
    <w:p w14:paraId="67AEF748" w14:textId="7C8FF6BE" w:rsidR="004D56C1" w:rsidRDefault="00CD4213" w:rsidP="00346332">
      <w:r>
        <w:t>When adding a Trading Partner, this can be done using the Directory Service. When adding the Trading Partner, you can verify the solution provider that is hosting the Trading Partner. For an additional layer of security, you can choose to only add Trading Partners from solution providers that you trust.</w:t>
      </w:r>
    </w:p>
    <w:p w14:paraId="0E42DA84" w14:textId="3F9F077E" w:rsidR="00377ABD" w:rsidRPr="00377ABD" w:rsidRDefault="00377ABD" w:rsidP="00377ABD">
      <w:pPr>
        <w:pStyle w:val="Heading1"/>
      </w:pPr>
      <w:r>
        <w:t>Directory Service Security</w:t>
      </w:r>
    </w:p>
    <w:p w14:paraId="278D4E9E" w14:textId="730DD584" w:rsidR="00377ABD" w:rsidRPr="00377ABD" w:rsidRDefault="007372ED" w:rsidP="00CD4213">
      <w:r w:rsidRPr="00377ABD">
        <w:t>Only Solution Providers registered on the Directory Service can query the Directory Service for available accounts.</w:t>
      </w:r>
      <w:r w:rsidR="00377ABD">
        <w:t xml:space="preserve"> All requests to the Directory Service would require the request to be signed using the private key of the solution provider. The Directory Service would then use the registered public key to validate the signature.</w:t>
      </w:r>
    </w:p>
    <w:p w14:paraId="4B3BB01B" w14:textId="4B4FB2F2" w:rsidR="00377ABD" w:rsidRDefault="007372ED" w:rsidP="00CD4213">
      <w:pPr>
        <w:rPr>
          <w:b/>
          <w:bCs/>
        </w:rPr>
      </w:pPr>
      <w:r w:rsidRPr="00377ABD">
        <w:rPr>
          <w:b/>
          <w:bCs/>
        </w:rPr>
        <w:t>Could the directory service be used to mine information?</w:t>
      </w:r>
    </w:p>
    <w:p w14:paraId="4B90BEC3" w14:textId="5E260D20" w:rsidR="00377ABD" w:rsidRPr="00377ABD" w:rsidRDefault="00377ABD" w:rsidP="00CD4213">
      <w:r>
        <w:t xml:space="preserve">No, because to query the Directory Service, the Solution Provider would be required to provide a filter to reduce the search results to a small amount. On top of that, the API will only return up to 10 search </w:t>
      </w:r>
      <w:r>
        <w:lastRenderedPageBreak/>
        <w:t>results per request. On top of that, the Traceability Internet Organization will monitor activity to ensure that solution providers are using the API faithfully.</w:t>
      </w:r>
    </w:p>
    <w:p w14:paraId="6E3B9B88" w14:textId="6E135DEB" w:rsidR="00FE31F6" w:rsidRPr="00DF5126" w:rsidRDefault="00CD4213" w:rsidP="00CD4213">
      <w:pPr>
        <w:pStyle w:val="Heading1"/>
      </w:pPr>
      <w:r>
        <w:t>Signed Requests</w:t>
      </w:r>
    </w:p>
    <w:p w14:paraId="169C284E" w14:textId="31058E95" w:rsidR="002A2371" w:rsidRDefault="00CD4213" w:rsidP="002A2371">
      <w:r>
        <w:t>Every Trading Partner has a public key that is downloaded from the Directory Service. When a Trading Partner sends a request to an account for data, they sign the request using their private key. Then when the request is received, the signature is validated using the public key of the Trading Partner. This ensures that the request was sent by the Trading Partner.</w:t>
      </w:r>
    </w:p>
    <w:p w14:paraId="4F46B872" w14:textId="100BB713" w:rsidR="00CD4213" w:rsidRDefault="00CD4213" w:rsidP="002A2371">
      <w:r>
        <w:t>The signature is included as the Authorization Header on the request including the following information:</w:t>
      </w:r>
    </w:p>
    <w:p w14:paraId="2C7B04FB" w14:textId="3471B889"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09C12203" w14:textId="75F53270"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w:t>
      </w:r>
      <w:proofErr w:type="spellStart"/>
      <w:r w:rsidRPr="00CD4213">
        <w:rPr>
          <w:rFonts w:ascii="Consolas" w:hAnsi="Consolas"/>
          <w:sz w:val="14"/>
          <w:szCs w:val="14"/>
        </w:rPr>
        <w:t>AccountPGLN</w:t>
      </w:r>
      <w:proofErr w:type="spellEnd"/>
      <w:r w:rsidRPr="00CD4213">
        <w:rPr>
          <w:rFonts w:ascii="Consolas" w:hAnsi="Consolas"/>
          <w:sz w:val="14"/>
          <w:szCs w:val="14"/>
        </w:rPr>
        <w:t>” : “urn:gdst:party:TR28401.0”,</w:t>
      </w:r>
    </w:p>
    <w:p w14:paraId="56FD22EB" w14:textId="77438FEB"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w:t>
      </w:r>
      <w:proofErr w:type="spellStart"/>
      <w:r w:rsidRPr="00CD4213">
        <w:rPr>
          <w:rFonts w:ascii="Consolas" w:hAnsi="Consolas"/>
          <w:sz w:val="14"/>
          <w:szCs w:val="14"/>
        </w:rPr>
        <w:t>TradingPartnerPGLN</w:t>
      </w:r>
      <w:proofErr w:type="spellEnd"/>
      <w:r w:rsidRPr="00CD4213">
        <w:rPr>
          <w:rFonts w:ascii="Consolas" w:hAnsi="Consolas"/>
          <w:sz w:val="14"/>
          <w:szCs w:val="14"/>
        </w:rPr>
        <w:t>” : “urn:gdst:party:WC100.0”,</w:t>
      </w:r>
    </w:p>
    <w:p w14:paraId="09D05AE1" w14:textId="6BCA4B66"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“Subject” : “urn:gdst:product:lot:class:WC100.0.0000”,</w:t>
      </w:r>
    </w:p>
    <w:p w14:paraId="1EC6CCF5" w14:textId="4E5D491A"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w:t>
      </w:r>
      <w:proofErr w:type="spellStart"/>
      <w:r w:rsidRPr="00CD4213">
        <w:rPr>
          <w:rFonts w:ascii="Consolas" w:hAnsi="Consolas"/>
          <w:sz w:val="14"/>
          <w:szCs w:val="14"/>
        </w:rPr>
        <w:t>Nunce</w:t>
      </w:r>
      <w:proofErr w:type="spellEnd"/>
      <w:r w:rsidRPr="00CD4213">
        <w:rPr>
          <w:rFonts w:ascii="Consolas" w:hAnsi="Consolas"/>
          <w:sz w:val="14"/>
          <w:szCs w:val="14"/>
        </w:rPr>
        <w:t>” : &lt;UTC Date Time of the Request&gt;,</w:t>
      </w:r>
    </w:p>
    <w:p w14:paraId="258CED91" w14:textId="514FEFE3"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“Signature” : “ABDHASDSFHSDF813213XUFBADSF..”</w:t>
      </w:r>
    </w:p>
    <w:p w14:paraId="27DE5F31" w14:textId="3AAF284C"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7131F7DA" w14:textId="79EA63CF" w:rsidR="00CD4213" w:rsidRDefault="00CD4213" w:rsidP="002A2371">
      <w:pPr>
        <w:rPr>
          <w:rFonts w:cstheme="minorHAnsi"/>
        </w:rPr>
      </w:pPr>
      <w:r>
        <w:rPr>
          <w:rFonts w:cstheme="minorHAnsi"/>
        </w:rPr>
        <w:t>This signature is encoded into a Base64 string an included in the Authorization Header on every request to ensure that:</w:t>
      </w:r>
    </w:p>
    <w:p w14:paraId="3003EE2B" w14:textId="460431B5" w:rsidR="00CD4213" w:rsidRDefault="00CD4213" w:rsidP="00CD4213">
      <w:pPr>
        <w:pStyle w:val="ListParagraph"/>
        <w:numPr>
          <w:ilvl w:val="0"/>
          <w:numId w:val="3"/>
        </w:numPr>
        <w:rPr>
          <w:rFonts w:cstheme="minorHAnsi"/>
        </w:rPr>
      </w:pPr>
      <w:r>
        <w:rPr>
          <w:rFonts w:cstheme="minorHAnsi"/>
        </w:rPr>
        <w:t xml:space="preserve">The Trading Partner </w:t>
      </w:r>
      <w:r w:rsidR="00996778">
        <w:rPr>
          <w:rFonts w:cstheme="minorHAnsi"/>
        </w:rPr>
        <w:t>created</w:t>
      </w:r>
      <w:r>
        <w:rPr>
          <w:rFonts w:cstheme="minorHAnsi"/>
        </w:rPr>
        <w:t xml:space="preserve"> this request.</w:t>
      </w:r>
    </w:p>
    <w:p w14:paraId="3C0514FC" w14:textId="5F27A246" w:rsidR="00CD4213" w:rsidRDefault="00CD4213" w:rsidP="00CD4213">
      <w:pPr>
        <w:pStyle w:val="ListParagraph"/>
        <w:numPr>
          <w:ilvl w:val="0"/>
          <w:numId w:val="3"/>
        </w:numPr>
        <w:rPr>
          <w:rFonts w:cstheme="minorHAnsi"/>
        </w:rPr>
      </w:pPr>
      <w:r>
        <w:rPr>
          <w:rFonts w:cstheme="minorHAnsi"/>
        </w:rPr>
        <w:t>The Account receiving the request was the intended account for the request.</w:t>
      </w:r>
    </w:p>
    <w:p w14:paraId="0E893731" w14:textId="6B0B48D0" w:rsidR="00CD4213" w:rsidRPr="00CD4213" w:rsidRDefault="00CD4213" w:rsidP="00CD4213">
      <w:pPr>
        <w:pStyle w:val="ListParagraph"/>
        <w:numPr>
          <w:ilvl w:val="0"/>
          <w:numId w:val="3"/>
        </w:numPr>
        <w:rPr>
          <w:rFonts w:cstheme="minorHAnsi"/>
        </w:rPr>
      </w:pPr>
      <w:r>
        <w:rPr>
          <w:rFonts w:cstheme="minorHAnsi"/>
        </w:rPr>
        <w:t>The data being request is the intended data to be requested by the trading partner.</w:t>
      </w:r>
    </w:p>
    <w:p w14:paraId="603FC970" w14:textId="29F3CEFD" w:rsidR="00BB26DD" w:rsidRDefault="001A1F33" w:rsidP="001A1F33">
      <w:r w:rsidRPr="001A1F33">
        <w:rPr>
          <w:noProof/>
        </w:rPr>
        <w:drawing>
          <wp:inline distT="0" distB="0" distL="0" distR="0" wp14:anchorId="08CDF982" wp14:editId="441A47AF">
            <wp:extent cx="5943600" cy="235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9660"/>
                    </a:xfrm>
                    <a:prstGeom prst="rect">
                      <a:avLst/>
                    </a:prstGeom>
                  </pic:spPr>
                </pic:pic>
              </a:graphicData>
            </a:graphic>
          </wp:inline>
        </w:drawing>
      </w:r>
    </w:p>
    <w:p w14:paraId="6165BE3F" w14:textId="2051899A" w:rsidR="00996778" w:rsidRDefault="00996778" w:rsidP="00996778">
      <w:pPr>
        <w:pStyle w:val="Heading1"/>
      </w:pPr>
      <w:r>
        <w:t>Data Filtering</w:t>
      </w:r>
    </w:p>
    <w:p w14:paraId="73189928" w14:textId="6506B021" w:rsidR="00996778" w:rsidRDefault="00996778" w:rsidP="00996778">
      <w:r>
        <w:t xml:space="preserve">It is possible to filter the data returned on a trading partner by trading partner basis. This is because when your </w:t>
      </w:r>
      <w:r w:rsidR="000905CD">
        <w:t>local API is queried for data, it’s possible to include the following information in each query:</w:t>
      </w:r>
    </w:p>
    <w:p w14:paraId="4C9FCD83" w14:textId="61B7C2B6" w:rsidR="000905CD" w:rsidRDefault="000905CD" w:rsidP="000905CD">
      <w:pPr>
        <w:pStyle w:val="ListParagraph"/>
        <w:numPr>
          <w:ilvl w:val="0"/>
          <w:numId w:val="5"/>
        </w:numPr>
      </w:pPr>
      <w:r>
        <w:t xml:space="preserve">What is being queried for? </w:t>
      </w:r>
      <w:proofErr w:type="gramStart"/>
      <w:r>
        <w:t>I.E.</w:t>
      </w:r>
      <w:proofErr w:type="gramEnd"/>
      <w:r>
        <w:t xml:space="preserve"> the GTIN, GLN, PGLN, or EPC</w:t>
      </w:r>
    </w:p>
    <w:p w14:paraId="61B5A15F" w14:textId="03D12027" w:rsidR="000905CD" w:rsidRDefault="000905CD" w:rsidP="000905CD">
      <w:pPr>
        <w:pStyle w:val="ListParagraph"/>
        <w:numPr>
          <w:ilvl w:val="0"/>
          <w:numId w:val="5"/>
        </w:numPr>
      </w:pPr>
      <w:r>
        <w:lastRenderedPageBreak/>
        <w:t xml:space="preserve">Who is the data being queried from? </w:t>
      </w:r>
      <w:proofErr w:type="gramStart"/>
      <w:r>
        <w:t>I.E.</w:t>
      </w:r>
      <w:proofErr w:type="gramEnd"/>
      <w:r>
        <w:t xml:space="preserve"> the account ID.</w:t>
      </w:r>
    </w:p>
    <w:p w14:paraId="08CB38FC" w14:textId="487982E3" w:rsidR="000905CD" w:rsidRDefault="000905CD" w:rsidP="000905CD">
      <w:pPr>
        <w:pStyle w:val="ListParagraph"/>
        <w:numPr>
          <w:ilvl w:val="0"/>
          <w:numId w:val="5"/>
        </w:numPr>
      </w:pPr>
      <w:r>
        <w:t xml:space="preserve">Who is the company asking for the data? </w:t>
      </w:r>
      <w:proofErr w:type="gramStart"/>
      <w:r>
        <w:t>I.E.</w:t>
      </w:r>
      <w:proofErr w:type="gramEnd"/>
      <w:r>
        <w:t xml:space="preserve"> the trading partner ID.</w:t>
      </w:r>
    </w:p>
    <w:p w14:paraId="3CE35776" w14:textId="00A2571A" w:rsidR="000905CD" w:rsidRDefault="000905CD" w:rsidP="000905CD">
      <w:r>
        <w:t>The Account ID tells you which account is being queried, and the Trading Partner ID tells you who is asking for the data. By knowing who is asking for the data, you can use internal logic to return all the data or a subset / filtered version of the data for security purposes.</w:t>
      </w:r>
    </w:p>
    <w:p w14:paraId="6EF44228" w14:textId="0B0B3E67" w:rsidR="00A45430" w:rsidRPr="00A45430" w:rsidRDefault="00A45430" w:rsidP="000905CD">
      <w:pPr>
        <w:rPr>
          <w:color w:val="FF0000"/>
        </w:rPr>
      </w:pPr>
    </w:p>
    <w:sectPr w:rsidR="00A45430" w:rsidRPr="00A4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C13"/>
    <w:multiLevelType w:val="hybridMultilevel"/>
    <w:tmpl w:val="B9A8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766BF"/>
    <w:multiLevelType w:val="hybridMultilevel"/>
    <w:tmpl w:val="D700AE9A"/>
    <w:lvl w:ilvl="0" w:tplc="E58811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B7ABB"/>
    <w:multiLevelType w:val="hybridMultilevel"/>
    <w:tmpl w:val="C9A6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551E1"/>
    <w:multiLevelType w:val="hybridMultilevel"/>
    <w:tmpl w:val="04C68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A0EE1"/>
    <w:multiLevelType w:val="hybridMultilevel"/>
    <w:tmpl w:val="F864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3E"/>
    <w:rsid w:val="00053CF6"/>
    <w:rsid w:val="000905CD"/>
    <w:rsid w:val="000F1A0A"/>
    <w:rsid w:val="00112817"/>
    <w:rsid w:val="001518E9"/>
    <w:rsid w:val="00185499"/>
    <w:rsid w:val="001A1F33"/>
    <w:rsid w:val="001A7046"/>
    <w:rsid w:val="001B37A7"/>
    <w:rsid w:val="001B7737"/>
    <w:rsid w:val="001D2367"/>
    <w:rsid w:val="001E4F69"/>
    <w:rsid w:val="00207F3B"/>
    <w:rsid w:val="0026012C"/>
    <w:rsid w:val="002801CB"/>
    <w:rsid w:val="002965BA"/>
    <w:rsid w:val="002A2371"/>
    <w:rsid w:val="002E68C0"/>
    <w:rsid w:val="002F1EAA"/>
    <w:rsid w:val="00346332"/>
    <w:rsid w:val="00367550"/>
    <w:rsid w:val="00377ABD"/>
    <w:rsid w:val="00386DB1"/>
    <w:rsid w:val="003A3FBD"/>
    <w:rsid w:val="003B61F9"/>
    <w:rsid w:val="003D597A"/>
    <w:rsid w:val="00401B05"/>
    <w:rsid w:val="004036ED"/>
    <w:rsid w:val="004765EE"/>
    <w:rsid w:val="004A050F"/>
    <w:rsid w:val="004B421A"/>
    <w:rsid w:val="004D56C1"/>
    <w:rsid w:val="00505DBC"/>
    <w:rsid w:val="00550DC2"/>
    <w:rsid w:val="006D6801"/>
    <w:rsid w:val="00703185"/>
    <w:rsid w:val="0071183E"/>
    <w:rsid w:val="00726A6A"/>
    <w:rsid w:val="007372ED"/>
    <w:rsid w:val="007E5F43"/>
    <w:rsid w:val="008211F1"/>
    <w:rsid w:val="00830443"/>
    <w:rsid w:val="008327E2"/>
    <w:rsid w:val="008B2E6F"/>
    <w:rsid w:val="008C524A"/>
    <w:rsid w:val="0095166A"/>
    <w:rsid w:val="00996778"/>
    <w:rsid w:val="009E088E"/>
    <w:rsid w:val="009F620D"/>
    <w:rsid w:val="00A03C92"/>
    <w:rsid w:val="00A10D67"/>
    <w:rsid w:val="00A36013"/>
    <w:rsid w:val="00A45430"/>
    <w:rsid w:val="00B41FD9"/>
    <w:rsid w:val="00BA6F0C"/>
    <w:rsid w:val="00BB26DD"/>
    <w:rsid w:val="00BF00C3"/>
    <w:rsid w:val="00C12163"/>
    <w:rsid w:val="00C235F9"/>
    <w:rsid w:val="00C64342"/>
    <w:rsid w:val="00C93837"/>
    <w:rsid w:val="00CD4213"/>
    <w:rsid w:val="00D42396"/>
    <w:rsid w:val="00D4694C"/>
    <w:rsid w:val="00DA13A2"/>
    <w:rsid w:val="00DE3A5D"/>
    <w:rsid w:val="00DF5126"/>
    <w:rsid w:val="00E00FA2"/>
    <w:rsid w:val="00F15750"/>
    <w:rsid w:val="00F3023B"/>
    <w:rsid w:val="00F54B06"/>
    <w:rsid w:val="00F5547B"/>
    <w:rsid w:val="00FA5694"/>
    <w:rsid w:val="00FE0796"/>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51CF"/>
  <w15:chartTrackingRefBased/>
  <w15:docId w15:val="{92E35F81-41B0-45D1-94C6-113E6B7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5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0FA2"/>
    <w:pPr>
      <w:ind w:left="720"/>
      <w:contextualSpacing/>
    </w:pPr>
  </w:style>
  <w:style w:type="character" w:customStyle="1" w:styleId="Heading2Char">
    <w:name w:val="Heading 2 Char"/>
    <w:basedOn w:val="DefaultParagraphFont"/>
    <w:link w:val="Heading2"/>
    <w:uiPriority w:val="9"/>
    <w:rsid w:val="00DF512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37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A94BB-68FB-416F-9C71-35D3A26F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Heggelund</dc:creator>
  <cp:keywords/>
  <dc:description/>
  <cp:lastModifiedBy>Philip L. Heggelund</cp:lastModifiedBy>
  <cp:revision>16</cp:revision>
  <dcterms:created xsi:type="dcterms:W3CDTF">2021-06-23T18:48:00Z</dcterms:created>
  <dcterms:modified xsi:type="dcterms:W3CDTF">2021-07-31T16:36:00Z</dcterms:modified>
</cp:coreProperties>
</file>