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Traceon-AI Demo Privacy Notice</w:t>
      </w:r>
    </w:p>
    <w:p>
      <w:r>
        <w:t>We process personal data lawfully, fairly, and transparently for specified purposes such as account management, service delivery, and security operations.</w:t>
      </w:r>
    </w:p>
    <w:p>
      <w:r>
        <w:t>The legal basis of processing may include consent, contract performance, legal obligation, and legitimate interest where applicable.</w:t>
      </w:r>
    </w:p>
    <w:p>
      <w:r>
        <w:t>Data subjects may request access, rectification, erasure, restriction, objection, and data portability through our support channel.</w:t>
      </w:r>
    </w:p>
    <w:p>
      <w:r>
        <w:t>Users can withdraw consent at any time. We explain retention periods and third-party data sharing practices in this notice.</w:t>
      </w:r>
    </w:p>
    <w:p>
      <w:r>
        <w:t>We apply technical and organizational safeguards including encryption, access control, logging, incident response, and regular security testing.</w:t>
      </w:r>
    </w:p>
    <w:p>
      <w:r>
        <w:t>In case of a personal data breach, we notify the relevant authority and affected individuals within legal deadlines when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