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2FB08" w14:textId="77777777" w:rsidR="00A8748D" w:rsidRDefault="00000000">
      <w:pPr>
        <w:spacing w:after="80"/>
        <w:jc w:val="center"/>
      </w:pPr>
      <w:r>
        <w:rPr>
          <w:b/>
          <w:bCs/>
          <w:sz w:val="28"/>
          <w:szCs w:val="28"/>
        </w:rPr>
        <w:t>Neolokal — Executive Summary</w:t>
      </w:r>
    </w:p>
    <w:p w14:paraId="79753839" w14:textId="77777777" w:rsidR="00A8748D" w:rsidRDefault="00000000">
      <w:pPr>
        <w:spacing w:after="60"/>
        <w:jc w:val="center"/>
      </w:pPr>
      <w:r>
        <w:rPr>
          <w:color w:val="A2999E"/>
        </w:rPr>
        <w:t>March – May 2026  |  Three-Month Programme Overview</w:t>
      </w:r>
    </w:p>
    <w:p w14:paraId="20FAD19A" w14:textId="77777777" w:rsidR="00A8748D" w:rsidRDefault="00000000">
      <w:pPr>
        <w:spacing w:after="480"/>
        <w:jc w:val="center"/>
      </w:pPr>
      <w:r>
        <w:rPr>
          <w:b/>
          <w:bCs/>
          <w:color w:val="FF7376"/>
          <w:sz w:val="20"/>
          <w:szCs w:val="20"/>
        </w:rPr>
        <w:t>Confidential — Ownership &amp; Leadership Only</w:t>
      </w:r>
    </w:p>
    <w:p w14:paraId="5147D431" w14:textId="77777777" w:rsidR="00A8748D" w:rsidRDefault="00000000">
      <w:pPr>
        <w:pBdr>
          <w:bottom w:val="single" w:sz="6" w:space="4" w:color="00AEBC"/>
        </w:pBdr>
        <w:spacing w:after="80"/>
      </w:pPr>
      <w:r>
        <w:rPr>
          <w:b/>
          <w:bCs/>
          <w:color w:val="00AEBC"/>
          <w:sz w:val="28"/>
          <w:szCs w:val="28"/>
        </w:rPr>
        <w:t>PART 1 — May 2026 Monthly Brief</w:t>
      </w:r>
    </w:p>
    <w:p w14:paraId="4BA42E12" w14:textId="77777777" w:rsidR="00A8748D" w:rsidRDefault="00000000">
      <w:pPr>
        <w:spacing w:before="120" w:after="60"/>
      </w:pPr>
      <w:r>
        <w:rPr>
          <w:i/>
          <w:iCs/>
          <w:color w:val="A2999E"/>
          <w:sz w:val="20"/>
          <w:szCs w:val="20"/>
        </w:rPr>
        <w:t>Apr 30 – May 30, 2026  ·  175 total check-ins  ·  5 active weeks</w:t>
      </w:r>
    </w:p>
    <w:p w14:paraId="7488534F" w14:textId="77777777" w:rsidR="00A8748D" w:rsidRDefault="00000000">
      <w:pPr>
        <w:spacing w:before="180" w:after="60"/>
      </w:pPr>
      <w:r>
        <w:rPr>
          <w:b/>
          <w:bCs/>
          <w:sz w:val="24"/>
          <w:szCs w:val="24"/>
        </w:rPr>
        <w:t>Overview</w:t>
      </w:r>
    </w:p>
    <w:p w14:paraId="2CF0F7AF" w14:textId="77777777" w:rsidR="00A8748D" w:rsidRDefault="00000000">
      <w:pPr>
        <w:pStyle w:val="ListParagraph"/>
        <w:numPr>
          <w:ilvl w:val="0"/>
          <w:numId w:val="2"/>
        </w:numPr>
        <w:spacing w:before="40" w:after="40"/>
      </w:pPr>
      <w:r>
        <w:t>175 total check-ins across 5 active weeks</w:t>
      </w:r>
    </w:p>
    <w:p w14:paraId="335AC353" w14:textId="77777777" w:rsidR="00A8748D" w:rsidRDefault="00000000">
      <w:pPr>
        <w:pStyle w:val="ListParagraph"/>
        <w:numPr>
          <w:ilvl w:val="0"/>
          <w:numId w:val="2"/>
        </w:numPr>
        <w:spacing w:before="40" w:after="40"/>
      </w:pPr>
      <w:r>
        <w:t>Overall scores declined across all dimensions compared to April — but the headline averages are heavily shaped by BOH and should not be read in isolation</w:t>
      </w:r>
    </w:p>
    <w:p w14:paraId="3C041D52" w14:textId="77777777" w:rsidR="00A8748D" w:rsidRDefault="00000000">
      <w:pPr>
        <w:pStyle w:val="ListParagraph"/>
        <w:numPr>
          <w:ilvl w:val="0"/>
          <w:numId w:val="2"/>
        </w:numPr>
        <w:spacing w:before="40" w:after="40"/>
      </w:pPr>
      <w:r>
        <w:t>FOH and BOH are telling two very different stories this month</w:t>
      </w:r>
    </w:p>
    <w:p w14:paraId="04E5A849" w14:textId="77777777" w:rsidR="00A8748D" w:rsidRDefault="00000000">
      <w:pPr>
        <w:spacing w:before="200" w:after="60"/>
      </w:pPr>
      <w:r>
        <w:rPr>
          <w:b/>
          <w:bCs/>
          <w:color w:val="00AEBC"/>
          <w:sz w:val="24"/>
          <w:szCs w:val="24"/>
        </w:rPr>
        <w:t>Front of House (FOH) — Strongest month yet</w:t>
      </w:r>
    </w:p>
    <w:p w14:paraId="7975B5A8" w14:textId="77777777" w:rsidR="00A8748D" w:rsidRDefault="00000000">
      <w:pPr>
        <w:pStyle w:val="ListParagraph"/>
        <w:numPr>
          <w:ilvl w:val="0"/>
          <w:numId w:val="2"/>
        </w:numPr>
        <w:spacing w:before="40" w:after="40"/>
      </w:pPr>
      <w:r>
        <w:t>63 responses (36% of total) — down from 82 in April and 123 in March</w:t>
      </w:r>
    </w:p>
    <w:p w14:paraId="33C6F6A0" w14:textId="77777777" w:rsidR="00A8748D" w:rsidRDefault="00000000">
      <w:pPr>
        <w:pStyle w:val="ListParagraph"/>
        <w:numPr>
          <w:ilvl w:val="0"/>
          <w:numId w:val="2"/>
        </w:numPr>
        <w:spacing w:before="40" w:after="40"/>
      </w:pPr>
      <w:r>
        <w:t>FOH scores: Physical 3.32 · Mental 3.37 · Emotional 3.08 · Recovery 3.33 · Work Environment 3.65</w:t>
      </w:r>
    </w:p>
    <w:p w14:paraId="72F0370E" w14:textId="77777777" w:rsidR="00A8748D" w:rsidRDefault="00000000">
      <w:pPr>
        <w:pStyle w:val="ListParagraph"/>
        <w:numPr>
          <w:ilvl w:val="0"/>
          <w:numId w:val="2"/>
        </w:numPr>
        <w:spacing w:before="40" w:after="40"/>
      </w:pPr>
      <w:r>
        <w:t>FOH is performing at its strongest level since the programme began</w:t>
      </w:r>
    </w:p>
    <w:p w14:paraId="047D199D" w14:textId="77777777" w:rsidR="00A8748D" w:rsidRDefault="00000000">
      <w:pPr>
        <w:pStyle w:val="ListParagraph"/>
        <w:numPr>
          <w:ilvl w:val="0"/>
          <w:numId w:val="2"/>
        </w:numPr>
        <w:spacing w:before="40" w:after="40"/>
      </w:pPr>
      <w:r>
        <w:t>FOH Work Environment reached 4.00 in Week 4 — the highest single dimension reading in the entire Neolokal dataset</w:t>
      </w:r>
    </w:p>
    <w:p w14:paraId="4E4C435F" w14:textId="77777777" w:rsidR="00A8748D" w:rsidRDefault="00000000">
      <w:pPr>
        <w:pStyle w:val="ListParagraph"/>
        <w:numPr>
          <w:ilvl w:val="0"/>
          <w:numId w:val="2"/>
        </w:numPr>
        <w:spacing w:before="40" w:after="40"/>
      </w:pPr>
      <w:r>
        <w:t>67–82% of FOH low scores on physical and mental dimensions attributed to professional/work-related causes</w:t>
      </w:r>
    </w:p>
    <w:p w14:paraId="5EC17B36" w14:textId="77777777" w:rsidR="00A8748D" w:rsidRDefault="00000000">
      <w:pPr>
        <w:spacing w:before="200" w:after="60"/>
      </w:pPr>
      <w:r>
        <w:rPr>
          <w:b/>
          <w:bCs/>
          <w:color w:val="FF7376"/>
          <w:sz w:val="24"/>
          <w:szCs w:val="24"/>
        </w:rPr>
        <w:t>Back of House (BOH) — Requires urgent leadership attention</w:t>
      </w:r>
    </w:p>
    <w:p w14:paraId="3FA0AF71" w14:textId="77777777" w:rsidR="00A8748D" w:rsidRDefault="00000000">
      <w:pPr>
        <w:pStyle w:val="ListParagraph"/>
        <w:numPr>
          <w:ilvl w:val="0"/>
          <w:numId w:val="2"/>
        </w:numPr>
        <w:spacing w:before="40" w:after="40"/>
      </w:pPr>
      <w:r>
        <w:t>112 responses (64% of total) — up from 107 in April</w:t>
      </w:r>
    </w:p>
    <w:p w14:paraId="12776050" w14:textId="77777777" w:rsidR="00A8748D" w:rsidRDefault="00000000">
      <w:pPr>
        <w:pStyle w:val="ListParagraph"/>
        <w:numPr>
          <w:ilvl w:val="0"/>
          <w:numId w:val="2"/>
        </w:numPr>
        <w:spacing w:before="40" w:after="40"/>
      </w:pPr>
      <w:r>
        <w:t>BOH scores: Physical 1.51 · Mental 1.50 · Emotional 1.49 · Recovery 1.55 · Work Environment 1.54</w:t>
      </w:r>
    </w:p>
    <w:p w14:paraId="08B6A3E0" w14:textId="77777777" w:rsidR="00A8748D" w:rsidRDefault="00000000">
      <w:pPr>
        <w:pStyle w:val="ListParagraph"/>
        <w:numPr>
          <w:ilvl w:val="0"/>
          <w:numId w:val="2"/>
        </w:numPr>
        <w:spacing w:before="40" w:after="40"/>
      </w:pPr>
      <w:r>
        <w:t>BOH is averaging near-floor scores across every single dimension</w:t>
      </w:r>
    </w:p>
    <w:p w14:paraId="61B96E70" w14:textId="77777777" w:rsidR="00A8748D" w:rsidRDefault="00000000">
      <w:pPr>
        <w:pStyle w:val="ListParagraph"/>
        <w:numPr>
          <w:ilvl w:val="0"/>
          <w:numId w:val="2"/>
        </w:numPr>
        <w:spacing w:before="40" w:after="40"/>
      </w:pPr>
      <w:r>
        <w:t>Week of May 19–23: 78 BOH responses averaging 1.2 across all five dimensions — the most concentrated distress signal in the dataset to date</w:t>
      </w:r>
    </w:p>
    <w:p w14:paraId="21CEA305" w14:textId="77777777" w:rsidR="00A8748D" w:rsidRDefault="00000000">
      <w:pPr>
        <w:pStyle w:val="ListParagraph"/>
        <w:numPr>
          <w:ilvl w:val="0"/>
          <w:numId w:val="2"/>
        </w:numPr>
        <w:spacing w:before="40" w:after="40"/>
      </w:pPr>
      <w:r>
        <w:t>BOH staff giving almost no reasons for their low scores — a pattern that has deepened over two months</w:t>
      </w:r>
    </w:p>
    <w:p w14:paraId="0F50B29D" w14:textId="77777777" w:rsidR="00A8748D" w:rsidRDefault="00000000">
      <w:pPr>
        <w:pStyle w:val="ListParagraph"/>
        <w:numPr>
          <w:ilvl w:val="0"/>
          <w:numId w:val="2"/>
        </w:numPr>
        <w:spacing w:before="40" w:after="40"/>
      </w:pPr>
      <w:r>
        <w:t>Wednesday and Thursday are the lowest-scoring days of the week — driven entirely by BOH</w:t>
      </w:r>
    </w:p>
    <w:p w14:paraId="25E0E291" w14:textId="77777777" w:rsidR="00A8748D" w:rsidRDefault="00000000">
      <w:pPr>
        <w:spacing w:before="200" w:after="60"/>
      </w:pPr>
      <w:r>
        <w:rPr>
          <w:b/>
          <w:bCs/>
          <w:color w:val="52B788"/>
          <w:sz w:val="24"/>
          <w:szCs w:val="24"/>
        </w:rPr>
        <w:t>Programme Highlight — The May 8 Wellness Session</w:t>
      </w:r>
    </w:p>
    <w:p w14:paraId="3F608AA0" w14:textId="77777777" w:rsidR="00A8748D" w:rsidRDefault="00000000">
      <w:pPr>
        <w:pStyle w:val="ListParagraph"/>
        <w:numPr>
          <w:ilvl w:val="0"/>
          <w:numId w:val="2"/>
        </w:numPr>
        <w:spacing w:before="40" w:after="40"/>
      </w:pPr>
      <w:r>
        <w:t>On Friday May 8 — the team’s historically hardest day of the week — BRW delivered an in-person wellness session directly on site with staff and management: meditation, breathwork, and a physical exercise using tennis balls</w:t>
      </w:r>
    </w:p>
    <w:p w14:paraId="75B2ED92" w14:textId="77777777" w:rsidR="00A8748D" w:rsidRDefault="00000000">
      <w:pPr>
        <w:pStyle w:val="ListParagraph"/>
        <w:numPr>
          <w:ilvl w:val="0"/>
          <w:numId w:val="2"/>
        </w:numPr>
        <w:spacing w:before="40" w:after="40"/>
      </w:pPr>
      <w:r>
        <w:t>The week of May 5–9 immediately following shows FOH at its strongest readings of the entire programme</w:t>
      </w:r>
    </w:p>
    <w:p w14:paraId="6C50E4E2" w14:textId="77777777" w:rsidR="00A8748D" w:rsidRDefault="00000000">
      <w:pPr>
        <w:pStyle w:val="ListParagraph"/>
        <w:numPr>
          <w:ilvl w:val="0"/>
          <w:numId w:val="2"/>
        </w:numPr>
        <w:spacing w:before="40" w:after="40"/>
      </w:pPr>
      <w:r>
        <w:t>This is direct evidence that wellness integrated at work, in person, on the hardest day, produces measurable results</w:t>
      </w:r>
    </w:p>
    <w:p w14:paraId="7669B30D" w14:textId="77777777" w:rsidR="00A8748D" w:rsidRDefault="00000000">
      <w:pPr>
        <w:pageBreakBefore/>
      </w:pPr>
      <w:r>
        <w:lastRenderedPageBreak/>
        <w:br/>
      </w:r>
    </w:p>
    <w:p w14:paraId="5006EACA" w14:textId="77777777" w:rsidR="00A8748D" w:rsidRDefault="00000000">
      <w:pPr>
        <w:pBdr>
          <w:bottom w:val="single" w:sz="6" w:space="4" w:color="9575CD"/>
        </w:pBdr>
        <w:spacing w:after="80"/>
      </w:pPr>
      <w:r>
        <w:rPr>
          <w:b/>
          <w:bCs/>
          <w:color w:val="9575CD"/>
          <w:sz w:val="28"/>
          <w:szCs w:val="28"/>
        </w:rPr>
        <w:t>PART 2 — Three-Month Observations (March – May 2026)</w:t>
      </w:r>
    </w:p>
    <w:p w14:paraId="346A24F8" w14:textId="77777777" w:rsidR="00A8748D" w:rsidRDefault="00000000">
      <w:pPr>
        <w:spacing w:before="120" w:after="200"/>
      </w:pPr>
      <w:r>
        <w:rPr>
          <w:i/>
          <w:iCs/>
          <w:color w:val="A2999E"/>
          <w:sz w:val="21"/>
          <w:szCs w:val="21"/>
        </w:rPr>
        <w:t>The following observations are drawn from three full months of Daily Pulse data at Neolokal. They reflect patterns that cannot be seen in a single month’s report — and are offered to support a broader strategic conversation between BRW and ownership.</w:t>
      </w:r>
    </w:p>
    <w:p w14:paraId="671912E9" w14:textId="77777777" w:rsidR="00A8748D" w:rsidRDefault="00000000">
      <w:pPr>
        <w:pBdr>
          <w:left w:val="single" w:sz="16" w:space="8" w:color="00AEBC"/>
        </w:pBdr>
        <w:spacing w:before="60" w:after="60"/>
        <w:ind w:left="240"/>
      </w:pPr>
      <w:r>
        <w:rPr>
          <w:b/>
          <w:bCs/>
          <w:color w:val="00AEBC"/>
          <w:sz w:val="24"/>
          <w:szCs w:val="24"/>
        </w:rPr>
        <w:t>Observation 1 — Participation Has Shifted Fundamentally</w:t>
      </w:r>
    </w:p>
    <w:p w14:paraId="47F76629" w14:textId="77777777" w:rsidR="00A8748D" w:rsidRDefault="00000000">
      <w:pPr>
        <w:pStyle w:val="ListParagraph"/>
        <w:numPr>
          <w:ilvl w:val="0"/>
          <w:numId w:val="2"/>
        </w:numPr>
        <w:spacing w:before="40" w:after="40"/>
      </w:pPr>
      <w:r>
        <w:t>March: FOH 123 (71.5%) · BOH 49 (28.5%) · Total 172</w:t>
      </w:r>
    </w:p>
    <w:p w14:paraId="791713D9" w14:textId="77777777" w:rsidR="00A8748D" w:rsidRDefault="00000000">
      <w:pPr>
        <w:pStyle w:val="ListParagraph"/>
        <w:numPr>
          <w:ilvl w:val="0"/>
          <w:numId w:val="2"/>
        </w:numPr>
        <w:spacing w:before="40" w:after="40"/>
      </w:pPr>
      <w:r>
        <w:t>April: FOH 82 (43.4%) · BOH 107 (56.6%) · Total 189</w:t>
      </w:r>
    </w:p>
    <w:p w14:paraId="05616DB0" w14:textId="77777777" w:rsidR="00A8748D" w:rsidRDefault="00000000">
      <w:pPr>
        <w:pStyle w:val="ListParagraph"/>
        <w:numPr>
          <w:ilvl w:val="0"/>
          <w:numId w:val="2"/>
        </w:numPr>
        <w:spacing w:before="40" w:after="40"/>
      </w:pPr>
      <w:r>
        <w:t>May: FOH 63 (36.0%) · BOH 112 (64.0%) · Total 175</w:t>
      </w:r>
    </w:p>
    <w:p w14:paraId="05B9A42D" w14:textId="77777777" w:rsidR="00A8748D" w:rsidRDefault="00000000">
      <w:pPr>
        <w:pStyle w:val="ListParagraph"/>
        <w:numPr>
          <w:ilvl w:val="0"/>
          <w:numId w:val="2"/>
        </w:numPr>
        <w:spacing w:before="40" w:after="40"/>
      </w:pPr>
      <w:r>
        <w:t>The balance of whose voice is being heard has reversed completely. Total responses are relatively stable — but the composition has changed significantly.</w:t>
      </w:r>
    </w:p>
    <w:p w14:paraId="3DDBFE68" w14:textId="77777777" w:rsidR="00A8748D" w:rsidRDefault="00000000">
      <w:pPr>
        <w:pStyle w:val="ListParagraph"/>
        <w:numPr>
          <w:ilvl w:val="0"/>
          <w:numId w:val="2"/>
        </w:numPr>
        <w:spacing w:before="40" w:after="40"/>
      </w:pPr>
      <w:r>
        <w:t>FOH has declined every single month since the programme began. This is a consistent downward trend that requires active attention from leadership.</w:t>
      </w:r>
    </w:p>
    <w:p w14:paraId="3BBBAE21" w14:textId="77777777" w:rsidR="00A8748D" w:rsidRDefault="00000000">
      <w:pPr>
        <w:pStyle w:val="ListParagraph"/>
        <w:numPr>
          <w:ilvl w:val="0"/>
          <w:numId w:val="2"/>
        </w:numPr>
        <w:spacing w:before="40" w:after="40"/>
      </w:pPr>
      <w:r>
        <w:t>BOH has grown every month — a positive development that reflects increasing kitchen team engagement with the programme.</w:t>
      </w:r>
    </w:p>
    <w:p w14:paraId="2A13F35E" w14:textId="77777777" w:rsidR="00A8748D" w:rsidRDefault="00000000">
      <w:pPr>
        <w:pBdr>
          <w:left w:val="single" w:sz="16" w:space="8" w:color="00AEBC"/>
        </w:pBdr>
        <w:spacing w:before="240" w:after="60"/>
        <w:ind w:left="240"/>
      </w:pPr>
      <w:r>
        <w:rPr>
          <w:b/>
          <w:bCs/>
          <w:color w:val="00AEBC"/>
          <w:sz w:val="24"/>
          <w:szCs w:val="24"/>
        </w:rPr>
        <w:t>Observation 2 — FOH Has Shown Consistent Resilience</w:t>
      </w:r>
    </w:p>
    <w:p w14:paraId="5A6C2CA5" w14:textId="77777777" w:rsidR="00A8748D" w:rsidRDefault="00000000">
      <w:pPr>
        <w:pStyle w:val="ListParagraph"/>
        <w:numPr>
          <w:ilvl w:val="0"/>
          <w:numId w:val="2"/>
        </w:numPr>
        <w:spacing w:before="40" w:after="40"/>
      </w:pPr>
      <w:r>
        <w:t>FOH scores across three months: March 3.54–3.81 · April 3.07–3.44 · May 3.08–3.65</w:t>
      </w:r>
    </w:p>
    <w:p w14:paraId="02F9AB6F" w14:textId="77777777" w:rsidR="00A8748D" w:rsidRDefault="00000000">
      <w:pPr>
        <w:pStyle w:val="ListParagraph"/>
        <w:numPr>
          <w:ilvl w:val="0"/>
          <w:numId w:val="2"/>
        </w:numPr>
        <w:spacing w:before="40" w:after="40"/>
      </w:pPr>
      <w:r>
        <w:t>FOH dipped in April and recovered in May to near-March levels — a V-shape that reflects a team that responds to support.</w:t>
      </w:r>
    </w:p>
    <w:p w14:paraId="3F326D9B" w14:textId="77777777" w:rsidR="00A8748D" w:rsidRDefault="00000000">
      <w:pPr>
        <w:pStyle w:val="ListParagraph"/>
        <w:numPr>
          <w:ilvl w:val="0"/>
          <w:numId w:val="2"/>
        </w:numPr>
        <w:spacing w:before="40" w:after="40"/>
      </w:pPr>
      <w:r>
        <w:t>FOH is the most stable and consistent signal in three months of data.</w:t>
      </w:r>
    </w:p>
    <w:p w14:paraId="0CA3BA91" w14:textId="77777777" w:rsidR="00A8748D" w:rsidRDefault="00000000">
      <w:pPr>
        <w:pStyle w:val="ListParagraph"/>
        <w:numPr>
          <w:ilvl w:val="0"/>
          <w:numId w:val="2"/>
        </w:numPr>
        <w:spacing w:before="40" w:after="40"/>
      </w:pPr>
      <w:r>
        <w:t>The May 8 BRW wellness session produced the strongest FOH readings of the programme. When the programme is delivered directly at work, in person, FOH responds immediately and visibly.</w:t>
      </w:r>
    </w:p>
    <w:p w14:paraId="0038FC56" w14:textId="77777777" w:rsidR="00A8748D" w:rsidRDefault="00000000">
      <w:pPr>
        <w:pBdr>
          <w:left w:val="single" w:sz="16" w:space="8" w:color="FF7376"/>
        </w:pBdr>
        <w:spacing w:before="240" w:after="60"/>
        <w:ind w:left="240"/>
      </w:pPr>
      <w:r>
        <w:rPr>
          <w:b/>
          <w:bCs/>
          <w:color w:val="FF7376"/>
          <w:sz w:val="24"/>
          <w:szCs w:val="24"/>
        </w:rPr>
        <w:t>Observation 3 — The BOH Trajectory Is the Defining Story of the Programme So Far</w:t>
      </w:r>
    </w:p>
    <w:p w14:paraId="25351070" w14:textId="77777777" w:rsidR="00A8748D" w:rsidRDefault="00000000">
      <w:pPr>
        <w:pStyle w:val="ListParagraph"/>
        <w:numPr>
          <w:ilvl w:val="0"/>
          <w:numId w:val="2"/>
        </w:numPr>
        <w:spacing w:before="40" w:after="40"/>
      </w:pPr>
      <w:r>
        <w:t>March BOH: Physical 3.73 · Mental 3.61 · Recovery 3.61 · Work Environment 4.08 — the strongest team in the dataset</w:t>
      </w:r>
    </w:p>
    <w:p w14:paraId="7FC45E12" w14:textId="77777777" w:rsidR="00A8748D" w:rsidRDefault="00000000">
      <w:pPr>
        <w:pStyle w:val="ListParagraph"/>
        <w:numPr>
          <w:ilvl w:val="0"/>
          <w:numId w:val="2"/>
        </w:numPr>
        <w:spacing w:before="40" w:after="40"/>
      </w:pPr>
      <w:r>
        <w:t>April BOH: Physical 2.54 · Mental 2.63 · Recovery 2.59 · Work Environment 2.93 — significant drop</w:t>
      </w:r>
    </w:p>
    <w:p w14:paraId="2B59C869" w14:textId="77777777" w:rsidR="00A8748D" w:rsidRDefault="00000000">
      <w:pPr>
        <w:pStyle w:val="ListParagraph"/>
        <w:numPr>
          <w:ilvl w:val="0"/>
          <w:numId w:val="2"/>
        </w:numPr>
        <w:spacing w:before="40" w:after="40"/>
      </w:pPr>
      <w:r>
        <w:t>May BOH: Physical 1.51 · Mental 1.50 · Recovery 1.55 · Work Environment 1.54 — near-floor across all dimensions</w:t>
      </w:r>
    </w:p>
    <w:p w14:paraId="2E6A1EF7" w14:textId="77777777" w:rsidR="00A8748D" w:rsidRDefault="00000000">
      <w:pPr>
        <w:pStyle w:val="ListParagraph"/>
        <w:numPr>
          <w:ilvl w:val="0"/>
          <w:numId w:val="2"/>
        </w:numPr>
        <w:spacing w:before="40" w:after="40"/>
      </w:pPr>
      <w:r>
        <w:t>This is a 2.5-point drop across every dimension over two months. It is not data noise — it is a clear, sustained, and accelerating decline.</w:t>
      </w:r>
    </w:p>
    <w:p w14:paraId="3832B3C3" w14:textId="77777777" w:rsidR="00A8748D" w:rsidRDefault="00000000">
      <w:pPr>
        <w:pStyle w:val="ListParagraph"/>
        <w:numPr>
          <w:ilvl w:val="0"/>
          <w:numId w:val="2"/>
        </w:numPr>
        <w:spacing w:before="40" w:after="40"/>
      </w:pPr>
      <w:r>
        <w:t>The BOH team went from being the highest-scoring group in March to the most distressed in May. This requires direct, honest leadership engagement.</w:t>
      </w:r>
    </w:p>
    <w:p w14:paraId="0C270501" w14:textId="77777777" w:rsidR="00A8748D" w:rsidRDefault="00000000">
      <w:pPr>
        <w:pStyle w:val="ListParagraph"/>
        <w:numPr>
          <w:ilvl w:val="0"/>
          <w:numId w:val="2"/>
        </w:numPr>
        <w:spacing w:before="40" w:after="40"/>
      </w:pPr>
      <w:r>
        <w:t>BOH staff are overwhelmingly not giving reasons for their low scores. The silence itself is a signal that should not be overlooked.</w:t>
      </w:r>
    </w:p>
    <w:p w14:paraId="4FF79D93" w14:textId="77777777" w:rsidR="00A8748D" w:rsidRDefault="00000000">
      <w:pPr>
        <w:pBdr>
          <w:left w:val="single" w:sz="16" w:space="8" w:color="52B788"/>
        </w:pBdr>
        <w:spacing w:before="240" w:after="60"/>
        <w:ind w:left="240"/>
      </w:pPr>
      <w:r>
        <w:rPr>
          <w:b/>
          <w:bCs/>
          <w:color w:val="52B788"/>
          <w:sz w:val="24"/>
          <w:szCs w:val="24"/>
        </w:rPr>
        <w:t>Observation 4 — Recovery Has Never Recovered</w:t>
      </w:r>
    </w:p>
    <w:p w14:paraId="696502AA" w14:textId="77777777" w:rsidR="00A8748D" w:rsidRDefault="00000000">
      <w:pPr>
        <w:pStyle w:val="ListParagraph"/>
        <w:numPr>
          <w:ilvl w:val="0"/>
          <w:numId w:val="2"/>
        </w:numPr>
        <w:spacing w:before="40" w:after="40"/>
      </w:pPr>
      <w:r>
        <w:t>March: Recovery 3.56 (all staff) · April: 2.84 · May: 2.19</w:t>
      </w:r>
    </w:p>
    <w:p w14:paraId="63243409" w14:textId="77777777" w:rsidR="00A8748D" w:rsidRDefault="00000000">
      <w:pPr>
        <w:pStyle w:val="ListParagraph"/>
        <w:numPr>
          <w:ilvl w:val="0"/>
          <w:numId w:val="2"/>
        </w:numPr>
        <w:spacing w:before="40" w:after="40"/>
      </w:pPr>
      <w:r>
        <w:t>Across all three months and across both FOH and BOH, recovery has been consistently the lowest or among the lowest dimensions.</w:t>
      </w:r>
    </w:p>
    <w:p w14:paraId="7EED15E8" w14:textId="77777777" w:rsidR="00A8748D" w:rsidRDefault="00000000">
      <w:pPr>
        <w:pStyle w:val="ListParagraph"/>
        <w:numPr>
          <w:ilvl w:val="0"/>
          <w:numId w:val="2"/>
        </w:numPr>
        <w:spacing w:before="40" w:after="40"/>
      </w:pPr>
      <w:r>
        <w:t>It has not improved since the programme began. It has only declined.</w:t>
      </w:r>
    </w:p>
    <w:p w14:paraId="686E60E9" w14:textId="77777777" w:rsidR="00A8748D" w:rsidRDefault="00000000">
      <w:pPr>
        <w:pStyle w:val="ListParagraph"/>
        <w:numPr>
          <w:ilvl w:val="0"/>
          <w:numId w:val="2"/>
        </w:numPr>
        <w:spacing w:before="40" w:after="40"/>
      </w:pPr>
      <w:r>
        <w:t>This is a structural issue — not a temporary fluctuation. How the team works, rests, and recovers between shifts is not sustainable at current levels.</w:t>
      </w:r>
    </w:p>
    <w:p w14:paraId="6D88BF9B" w14:textId="77777777" w:rsidR="00A8748D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BRW recovery-focused content and practices are directly responsive to this signal and should be prioritised in the coming months.</w:t>
      </w:r>
    </w:p>
    <w:p w14:paraId="322B8BE7" w14:textId="77777777" w:rsidR="00A8748D" w:rsidRDefault="00000000">
      <w:pPr>
        <w:pBdr>
          <w:left w:val="single" w:sz="16" w:space="8" w:color="52B788"/>
        </w:pBdr>
        <w:spacing w:before="240" w:after="60"/>
        <w:ind w:left="240"/>
      </w:pPr>
      <w:r>
        <w:rPr>
          <w:b/>
          <w:bCs/>
          <w:color w:val="52B788"/>
          <w:sz w:val="24"/>
          <w:szCs w:val="24"/>
        </w:rPr>
        <w:t>Observation 5 — In-Person Wellness Integration Works</w:t>
      </w:r>
    </w:p>
    <w:p w14:paraId="4BA2FAA7" w14:textId="77777777" w:rsidR="00A8748D" w:rsidRDefault="00000000">
      <w:pPr>
        <w:pStyle w:val="ListParagraph"/>
        <w:numPr>
          <w:ilvl w:val="0"/>
          <w:numId w:val="2"/>
        </w:numPr>
        <w:spacing w:before="40" w:after="40"/>
      </w:pPr>
      <w:r>
        <w:t>On May 8, BRW delivered a direct in-person wellness session with staff and management at Neolokal: meditation, breathwork, and a physical tennis ball exercise.</w:t>
      </w:r>
    </w:p>
    <w:p w14:paraId="4676BB6C" w14:textId="77777777" w:rsidR="00A8748D" w:rsidRDefault="00000000">
      <w:pPr>
        <w:pStyle w:val="ListParagraph"/>
        <w:numPr>
          <w:ilvl w:val="0"/>
          <w:numId w:val="2"/>
        </w:numPr>
        <w:spacing w:before="40" w:after="40"/>
      </w:pPr>
      <w:r>
        <w:t>This was not owner-led. It was programme-led — BRW, on site, working directly with the team.</w:t>
      </w:r>
    </w:p>
    <w:p w14:paraId="54010782" w14:textId="77777777" w:rsidR="00A8748D" w:rsidRDefault="00000000">
      <w:pPr>
        <w:pStyle w:val="ListParagraph"/>
        <w:numPr>
          <w:ilvl w:val="0"/>
          <w:numId w:val="2"/>
        </w:numPr>
        <w:spacing w:before="40" w:after="40"/>
      </w:pPr>
      <w:r>
        <w:t>FOH scores in the week immediately following were the strongest of the entire three-month programme.</w:t>
      </w:r>
    </w:p>
    <w:p w14:paraId="4689E7EF" w14:textId="77777777" w:rsidR="00A8748D" w:rsidRDefault="00000000">
      <w:pPr>
        <w:pStyle w:val="ListParagraph"/>
        <w:numPr>
          <w:ilvl w:val="0"/>
          <w:numId w:val="2"/>
        </w:numPr>
        <w:spacing w:before="40" w:after="40"/>
      </w:pPr>
      <w:r>
        <w:t>This is the clearest evidence yet that wellness integrated directly into the working day — not just available digitally — produces measurable, immediate results.</w:t>
      </w:r>
    </w:p>
    <w:p w14:paraId="33939045" w14:textId="77777777" w:rsidR="00A8748D" w:rsidRDefault="00000000">
      <w:pPr>
        <w:pStyle w:val="ListParagraph"/>
        <w:numPr>
          <w:ilvl w:val="0"/>
          <w:numId w:val="2"/>
        </w:numPr>
        <w:spacing w:before="40" w:after="40"/>
      </w:pPr>
      <w:r>
        <w:t>The digital platform supports daily habit. In-person sessions create step-change moments. Both are needed.</w:t>
      </w:r>
    </w:p>
    <w:p w14:paraId="3F1275BE" w14:textId="77777777" w:rsidR="00A8748D" w:rsidRDefault="00000000">
      <w:pPr>
        <w:pBdr>
          <w:left w:val="single" w:sz="16" w:space="8" w:color="9575CD"/>
        </w:pBdr>
        <w:spacing w:before="240" w:after="60"/>
        <w:ind w:left="240"/>
      </w:pPr>
      <w:r>
        <w:rPr>
          <w:b/>
          <w:bCs/>
          <w:color w:val="9575CD"/>
          <w:sz w:val="24"/>
          <w:szCs w:val="24"/>
        </w:rPr>
        <w:t>Observation 6 — The Team Is One Ecosystem</w:t>
      </w:r>
    </w:p>
    <w:p w14:paraId="423BC939" w14:textId="77777777" w:rsidR="00A8748D" w:rsidRDefault="00000000">
      <w:pPr>
        <w:pStyle w:val="ListParagraph"/>
        <w:numPr>
          <w:ilvl w:val="0"/>
          <w:numId w:val="2"/>
        </w:numPr>
        <w:spacing w:before="40" w:after="40"/>
      </w:pPr>
      <w:r>
        <w:t>FOH and BOH are not two separate teams. They are one restaurant that depends on each other completely.</w:t>
      </w:r>
    </w:p>
    <w:p w14:paraId="0AA36953" w14:textId="77777777" w:rsidR="00A8748D" w:rsidRDefault="00000000">
      <w:pPr>
        <w:pStyle w:val="ListParagraph"/>
        <w:numPr>
          <w:ilvl w:val="0"/>
          <w:numId w:val="2"/>
        </w:numPr>
        <w:spacing w:before="40" w:after="40"/>
      </w:pPr>
      <w:r>
        <w:t>This month FOH is the stronger part of that ecosystem. That strength is not a contrast to BOH’s difficulties — it is an opportunity.</w:t>
      </w:r>
    </w:p>
    <w:p w14:paraId="3A0C51EB" w14:textId="77777777" w:rsidR="00A8748D" w:rsidRDefault="00000000">
      <w:pPr>
        <w:pStyle w:val="ListParagraph"/>
        <w:numPr>
          <w:ilvl w:val="0"/>
          <w:numId w:val="2"/>
        </w:numPr>
        <w:spacing w:before="40" w:after="40"/>
      </w:pPr>
      <w:r>
        <w:t>The energy and morale of one part of the team can actively support the other. Today FOH is stronger. In another month, that may shift.</w:t>
      </w:r>
    </w:p>
    <w:p w14:paraId="05AF8A21" w14:textId="77777777" w:rsidR="00A8748D" w:rsidRDefault="00000000">
      <w:pPr>
        <w:pStyle w:val="ListParagraph"/>
        <w:numPr>
          <w:ilvl w:val="0"/>
          <w:numId w:val="2"/>
        </w:numPr>
        <w:spacing w:before="40" w:after="40"/>
      </w:pPr>
      <w:r>
        <w:t>Building a culture where the team lifts each other — in both directions, regardless of role — is one of the most valuable things leadership can cultivate right now.</w:t>
      </w:r>
    </w:p>
    <w:p w14:paraId="3A52BABA" w14:textId="77777777" w:rsidR="00A8748D" w:rsidRDefault="00000000">
      <w:pPr>
        <w:pBdr>
          <w:bottom w:val="single" w:sz="6" w:space="4" w:color="434443"/>
        </w:pBdr>
        <w:spacing w:before="320" w:after="80"/>
      </w:pPr>
      <w:r>
        <w:rPr>
          <w:b/>
          <w:bCs/>
          <w:sz w:val="26"/>
          <w:szCs w:val="26"/>
        </w:rPr>
        <w:t>Looking Ahead — Month 4 Trajectory</w:t>
      </w:r>
    </w:p>
    <w:p w14:paraId="12D247E4" w14:textId="77777777" w:rsidR="00A8748D" w:rsidRDefault="00000000">
      <w:pPr>
        <w:spacing w:before="140" w:after="100"/>
      </w:pPr>
      <w:r>
        <w:t>Heading into month 4, the most urgent priority is understanding and addressing the BOH situation before it deepens further. A direct, honest conversation between ownership and the kitchen team — supported by BRW — is the most important next step. If the May 8 effect holds as a model, continued in-person BRW engagement combined with active programme integration offers the clearest path to recovery for the whole team.</w:t>
      </w:r>
    </w:p>
    <w:p w14:paraId="281CB2E5" w14:textId="77777777" w:rsidR="00A8748D" w:rsidRDefault="00000000">
      <w:pPr>
        <w:pBdr>
          <w:top w:val="single" w:sz="4" w:space="6" w:color="00AEBC"/>
        </w:pBdr>
        <w:spacing w:before="320"/>
        <w:jc w:val="center"/>
      </w:pPr>
      <w:r>
        <w:rPr>
          <w:color w:val="A2999E"/>
          <w:sz w:val="18"/>
          <w:szCs w:val="18"/>
        </w:rPr>
        <w:t>The BreakRoom Wellness  ·  Neolokal Executive Summary  ·  March–May 2026  ·  Confidential</w:t>
      </w:r>
    </w:p>
    <w:sectPr w:rsidR="00A8748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546CB" w14:textId="77777777" w:rsidR="004E6D92" w:rsidRDefault="004E6D92" w:rsidP="00282DCD">
      <w:r>
        <w:separator/>
      </w:r>
    </w:p>
  </w:endnote>
  <w:endnote w:type="continuationSeparator" w:id="0">
    <w:p w14:paraId="21C4EB89" w14:textId="77777777" w:rsidR="004E6D92" w:rsidRDefault="004E6D92" w:rsidP="00282D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9B87E" w14:textId="77777777" w:rsidR="00282DCD" w:rsidRDefault="00282DC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BDDB6" w14:textId="77777777" w:rsidR="00282DCD" w:rsidRDefault="00282DC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0470F" w14:textId="77777777" w:rsidR="00282DCD" w:rsidRDefault="00282D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48866" w14:textId="77777777" w:rsidR="004E6D92" w:rsidRDefault="004E6D92" w:rsidP="00282DCD">
      <w:r>
        <w:separator/>
      </w:r>
    </w:p>
  </w:footnote>
  <w:footnote w:type="continuationSeparator" w:id="0">
    <w:p w14:paraId="7C88D3FA" w14:textId="77777777" w:rsidR="004E6D92" w:rsidRDefault="004E6D92" w:rsidP="00282D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88675" w14:textId="77777777" w:rsidR="00282DCD" w:rsidRDefault="00282DC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2DEBE" w14:textId="59BAF56E" w:rsidR="00282DCD" w:rsidRDefault="00282DCD">
    <w:pPr>
      <w:pStyle w:val="Header"/>
    </w:pPr>
    <w:r>
      <w:rPr>
        <w:noProof/>
      </w:rPr>
      <w:drawing>
        <wp:inline distT="0" distB="0" distL="0" distR="0" wp14:anchorId="746669FB" wp14:editId="4421AC80">
          <wp:extent cx="1561171" cy="336415"/>
          <wp:effectExtent l="0" t="0" r="1270" b="0"/>
          <wp:docPr id="388082426" name="Picture 1" descr="A logo for a compan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8082426" name="Picture 1" descr="A logo for a company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58132" cy="3573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D7E2BA7" w14:textId="77777777" w:rsidR="00282DCD" w:rsidRDefault="00282DC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416A1" w14:textId="77777777" w:rsidR="00282DCD" w:rsidRDefault="00282DC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A5739"/>
    <w:multiLevelType w:val="hybridMultilevel"/>
    <w:tmpl w:val="B60801F6"/>
    <w:lvl w:ilvl="0" w:tplc="804E99A0">
      <w:start w:val="1"/>
      <w:numFmt w:val="bullet"/>
      <w:lvlText w:val="•"/>
      <w:lvlJc w:val="left"/>
      <w:pPr>
        <w:ind w:left="720" w:hanging="360"/>
      </w:pPr>
    </w:lvl>
    <w:lvl w:ilvl="1" w:tplc="1B0E61BC">
      <w:numFmt w:val="decimal"/>
      <w:lvlText w:val=""/>
      <w:lvlJc w:val="left"/>
    </w:lvl>
    <w:lvl w:ilvl="2" w:tplc="FA344EDA">
      <w:numFmt w:val="decimal"/>
      <w:lvlText w:val=""/>
      <w:lvlJc w:val="left"/>
    </w:lvl>
    <w:lvl w:ilvl="3" w:tplc="93F6E1F0">
      <w:numFmt w:val="decimal"/>
      <w:lvlText w:val=""/>
      <w:lvlJc w:val="left"/>
    </w:lvl>
    <w:lvl w:ilvl="4" w:tplc="5DBA1CBC">
      <w:numFmt w:val="decimal"/>
      <w:lvlText w:val=""/>
      <w:lvlJc w:val="left"/>
    </w:lvl>
    <w:lvl w:ilvl="5" w:tplc="D438FD36">
      <w:numFmt w:val="decimal"/>
      <w:lvlText w:val=""/>
      <w:lvlJc w:val="left"/>
    </w:lvl>
    <w:lvl w:ilvl="6" w:tplc="A1083E14">
      <w:numFmt w:val="decimal"/>
      <w:lvlText w:val=""/>
      <w:lvlJc w:val="left"/>
    </w:lvl>
    <w:lvl w:ilvl="7" w:tplc="148A4BA6">
      <w:numFmt w:val="decimal"/>
      <w:lvlText w:val=""/>
      <w:lvlJc w:val="left"/>
    </w:lvl>
    <w:lvl w:ilvl="8" w:tplc="9CCCB31E">
      <w:numFmt w:val="decimal"/>
      <w:lvlText w:val=""/>
      <w:lvlJc w:val="left"/>
    </w:lvl>
  </w:abstractNum>
  <w:abstractNum w:abstractNumId="1" w15:restartNumberingAfterBreak="0">
    <w:nsid w:val="432533C2"/>
    <w:multiLevelType w:val="hybridMultilevel"/>
    <w:tmpl w:val="C6D6BA44"/>
    <w:lvl w:ilvl="0" w:tplc="51E2A6AA">
      <w:start w:val="1"/>
      <w:numFmt w:val="bullet"/>
      <w:lvlText w:val="●"/>
      <w:lvlJc w:val="left"/>
      <w:pPr>
        <w:ind w:left="720" w:hanging="360"/>
      </w:pPr>
    </w:lvl>
    <w:lvl w:ilvl="1" w:tplc="51FA590E">
      <w:start w:val="1"/>
      <w:numFmt w:val="bullet"/>
      <w:lvlText w:val="○"/>
      <w:lvlJc w:val="left"/>
      <w:pPr>
        <w:ind w:left="1440" w:hanging="360"/>
      </w:pPr>
    </w:lvl>
    <w:lvl w:ilvl="2" w:tplc="061494A8">
      <w:start w:val="1"/>
      <w:numFmt w:val="bullet"/>
      <w:lvlText w:val="■"/>
      <w:lvlJc w:val="left"/>
      <w:pPr>
        <w:ind w:left="2160" w:hanging="360"/>
      </w:pPr>
    </w:lvl>
    <w:lvl w:ilvl="3" w:tplc="932098FA">
      <w:start w:val="1"/>
      <w:numFmt w:val="bullet"/>
      <w:lvlText w:val="●"/>
      <w:lvlJc w:val="left"/>
      <w:pPr>
        <w:ind w:left="2880" w:hanging="360"/>
      </w:pPr>
    </w:lvl>
    <w:lvl w:ilvl="4" w:tplc="5C84CDD0">
      <w:start w:val="1"/>
      <w:numFmt w:val="bullet"/>
      <w:lvlText w:val="○"/>
      <w:lvlJc w:val="left"/>
      <w:pPr>
        <w:ind w:left="3600" w:hanging="360"/>
      </w:pPr>
    </w:lvl>
    <w:lvl w:ilvl="5" w:tplc="2DB4A612">
      <w:start w:val="1"/>
      <w:numFmt w:val="bullet"/>
      <w:lvlText w:val="■"/>
      <w:lvlJc w:val="left"/>
      <w:pPr>
        <w:ind w:left="4320" w:hanging="360"/>
      </w:pPr>
    </w:lvl>
    <w:lvl w:ilvl="6" w:tplc="9DAEB62A">
      <w:start w:val="1"/>
      <w:numFmt w:val="bullet"/>
      <w:lvlText w:val="●"/>
      <w:lvlJc w:val="left"/>
      <w:pPr>
        <w:ind w:left="5040" w:hanging="360"/>
      </w:pPr>
    </w:lvl>
    <w:lvl w:ilvl="7" w:tplc="E9562806">
      <w:start w:val="1"/>
      <w:numFmt w:val="bullet"/>
      <w:lvlText w:val="●"/>
      <w:lvlJc w:val="left"/>
      <w:pPr>
        <w:ind w:left="5760" w:hanging="360"/>
      </w:pPr>
    </w:lvl>
    <w:lvl w:ilvl="8" w:tplc="BA3415DE">
      <w:start w:val="1"/>
      <w:numFmt w:val="bullet"/>
      <w:lvlText w:val="●"/>
      <w:lvlJc w:val="left"/>
      <w:pPr>
        <w:ind w:left="6480" w:hanging="360"/>
      </w:pPr>
    </w:lvl>
  </w:abstractNum>
  <w:num w:numId="1" w16cid:durableId="1098452042">
    <w:abstractNumId w:val="1"/>
    <w:lvlOverride w:ilvl="0">
      <w:startOverride w:val="1"/>
    </w:lvlOverride>
  </w:num>
  <w:num w:numId="2" w16cid:durableId="346944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748D"/>
    <w:rsid w:val="00282DCD"/>
    <w:rsid w:val="003A7CD5"/>
    <w:rsid w:val="00462902"/>
    <w:rsid w:val="004E6D92"/>
    <w:rsid w:val="00A87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C739427"/>
  <w15:docId w15:val="{66DA13C4-DEE1-BC48-BF2D-93C5EF7EC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34443"/>
        <w:sz w:val="22"/>
        <w:szCs w:val="22"/>
        <w:lang w:val="en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82DC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2DCD"/>
  </w:style>
  <w:style w:type="paragraph" w:styleId="Footer">
    <w:name w:val="footer"/>
    <w:basedOn w:val="Normal"/>
    <w:link w:val="FooterChar"/>
    <w:uiPriority w:val="99"/>
    <w:unhideWhenUsed/>
    <w:rsid w:val="00282DC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2D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1004</Words>
  <Characters>5725</Characters>
  <Application>Microsoft Office Word</Application>
  <DocSecurity>0</DocSecurity>
  <Lines>47</Lines>
  <Paragraphs>13</Paragraphs>
  <ScaleCrop>false</ScaleCrop>
  <Company/>
  <LinksUpToDate>false</LinksUpToDate>
  <CharactersWithSpaces>6716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Tracey Lynn Grebinsky</cp:lastModifiedBy>
  <cp:revision>3</cp:revision>
  <dcterms:created xsi:type="dcterms:W3CDTF">2026-06-08T14:01:00Z</dcterms:created>
  <dcterms:modified xsi:type="dcterms:W3CDTF">2026-06-08T14:02:00Z</dcterms:modified>
</cp:coreProperties>
</file>